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1116-2022-EO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四川信德工程造价咨询有限公司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四川信德工程造价咨询有限公司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成都市高新区神仙树南路8号</w:t>
            </w:r>
            <w:bookmarkEnd w:id="6"/>
          </w:p>
        </w:tc>
        <w:tc>
          <w:tcPr>
            <w:tcW w:w="1242" w:type="dxa"/>
            <w:vMerge w:val="restart"/>
            <w:vAlign w:val="center"/>
          </w:tcPr>
          <w:p>
            <w:r>
              <w:rPr>
                <w:rFonts w:hint="eastAsia"/>
              </w:rPr>
              <w:t>邮编</w:t>
            </w:r>
          </w:p>
        </w:tc>
        <w:tc>
          <w:tcPr>
            <w:tcW w:w="1771" w:type="dxa"/>
          </w:tcPr>
          <w:p>
            <w:bookmarkStart w:id="7" w:name="注册邮编"/>
            <w:r>
              <w:t>610041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成都市高新区神仙树南路8号</w:t>
            </w:r>
            <w:bookmarkEnd w:id="8"/>
          </w:p>
        </w:tc>
        <w:tc>
          <w:tcPr>
            <w:tcW w:w="1242" w:type="dxa"/>
            <w:vMerge w:val="continue"/>
            <w:vAlign w:val="center"/>
          </w:tcPr>
          <w:p/>
        </w:tc>
        <w:tc>
          <w:tcPr>
            <w:tcW w:w="1771" w:type="dxa"/>
          </w:tcPr>
          <w:p>
            <w:bookmarkStart w:id="9" w:name="办公邮编"/>
            <w: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魏俊奇</w:t>
            </w:r>
            <w:bookmarkEnd w:id="10"/>
          </w:p>
        </w:tc>
        <w:tc>
          <w:tcPr>
            <w:tcW w:w="1313" w:type="dxa"/>
            <w:vAlign w:val="center"/>
          </w:tcPr>
          <w:p>
            <w:r>
              <w:rPr>
                <w:rFonts w:hint="eastAsia"/>
              </w:rPr>
              <w:t>电话.</w:t>
            </w:r>
          </w:p>
        </w:tc>
        <w:tc>
          <w:tcPr>
            <w:tcW w:w="2180" w:type="dxa"/>
            <w:vAlign w:val="center"/>
          </w:tcPr>
          <w:p>
            <w:bookmarkStart w:id="11" w:name="联系人电话"/>
            <w:r>
              <w:t>13808016441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周云</w:t>
            </w:r>
            <w:bookmarkEnd w:id="13"/>
          </w:p>
        </w:tc>
        <w:tc>
          <w:tcPr>
            <w:tcW w:w="1313" w:type="dxa"/>
            <w:vAlign w:val="center"/>
          </w:tcPr>
          <w:p>
            <w:r>
              <w:rPr>
                <w:rFonts w:hint="eastAsia"/>
              </w:rPr>
              <w:t>管理者代表</w:t>
            </w:r>
          </w:p>
        </w:tc>
        <w:tc>
          <w:tcPr>
            <w:tcW w:w="2180" w:type="dxa"/>
          </w:tcPr>
          <w:p>
            <w:bookmarkStart w:id="14" w:name="管理者代表"/>
            <w:r>
              <w:t>魏俊奇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Arial" w:hAnsi="Arial" w:cs="Arial"/>
                <w:lang w:val="en-US" w:eastAsia="zh-CN"/>
              </w:rPr>
            </w:pPr>
            <w:r>
              <w:t>工程造价咨询</w:t>
            </w:r>
            <w:r>
              <w:rPr>
                <w:rFonts w:hint="eastAsia"/>
                <w:lang w:val="en-US" w:eastAsia="zh-CN"/>
              </w:rPr>
              <w:t>:接受咨询项目委托</w:t>
            </w:r>
            <w:r>
              <w:rPr>
                <w:rFonts w:hint="default" w:ascii="Arial" w:hAnsi="Arial" w:cs="Arial"/>
                <w:lang w:val="en-US" w:eastAsia="zh-CN"/>
              </w:rPr>
              <w:t>→</w:t>
            </w:r>
            <w:r>
              <w:rPr>
                <w:rFonts w:hint="eastAsia"/>
                <w:lang w:val="en-US" w:eastAsia="zh-CN"/>
              </w:rPr>
              <w:t>明确咨询标的</w:t>
            </w:r>
            <w:r>
              <w:rPr>
                <w:rFonts w:hint="default" w:ascii="Arial" w:hAnsi="Arial" w:cs="Arial"/>
                <w:lang w:val="en-US" w:eastAsia="zh-CN"/>
              </w:rPr>
              <w:t>→</w:t>
            </w:r>
            <w:r>
              <w:rPr>
                <w:rFonts w:hint="eastAsia" w:ascii="Arial" w:hAnsi="Arial" w:cs="Arial"/>
                <w:lang w:val="en-US" w:eastAsia="zh-CN"/>
              </w:rPr>
              <w:t>收集资料</w:t>
            </w:r>
            <w:r>
              <w:rPr>
                <w:rFonts w:hint="default" w:ascii="Arial" w:hAnsi="Arial" w:cs="Arial"/>
                <w:lang w:val="en-US" w:eastAsia="zh-CN"/>
              </w:rPr>
              <w:t>→</w:t>
            </w:r>
            <w:r>
              <w:rPr>
                <w:rFonts w:hint="eastAsia"/>
                <w:lang w:val="en-US" w:eastAsia="zh-CN"/>
              </w:rPr>
              <w:t>制定咨询实施方案</w:t>
            </w:r>
            <w:r>
              <w:rPr>
                <w:rFonts w:hint="default" w:ascii="Arial" w:hAnsi="Arial" w:cs="Arial"/>
                <w:lang w:val="en-US" w:eastAsia="zh-CN"/>
              </w:rPr>
              <w:t>→</w:t>
            </w:r>
            <w:r>
              <w:rPr>
                <w:rFonts w:hint="eastAsia"/>
                <w:lang w:val="en-US" w:eastAsia="zh-CN"/>
              </w:rPr>
              <w:t>开展工程造价工作</w:t>
            </w:r>
            <w:r>
              <w:rPr>
                <w:rFonts w:hint="default" w:ascii="Arial" w:hAnsi="Arial" w:cs="Arial"/>
                <w:lang w:val="en-US" w:eastAsia="zh-CN"/>
              </w:rPr>
              <w:t>→</w:t>
            </w:r>
            <w:r>
              <w:rPr>
                <w:rFonts w:hint="eastAsia" w:ascii="Arial" w:hAnsi="Arial" w:cs="Arial"/>
                <w:lang w:val="en-US" w:eastAsia="zh-CN"/>
              </w:rPr>
              <w:t>形成成果</w:t>
            </w:r>
            <w:r>
              <w:rPr>
                <w:rFonts w:hint="default" w:ascii="Arial" w:hAnsi="Arial" w:cs="Arial"/>
                <w:lang w:val="en-US" w:eastAsia="zh-CN"/>
              </w:rPr>
              <w:t>→</w:t>
            </w:r>
            <w:r>
              <w:rPr>
                <w:rFonts w:hint="eastAsia" w:ascii="Arial" w:hAnsi="Arial" w:cs="Arial"/>
                <w:lang w:val="en-US" w:eastAsia="zh-CN"/>
              </w:rPr>
              <w:t>成果审定</w:t>
            </w:r>
            <w:r>
              <w:rPr>
                <w:rFonts w:hint="default" w:ascii="Arial" w:hAnsi="Arial" w:cs="Arial"/>
                <w:lang w:val="en-US" w:eastAsia="zh-CN"/>
              </w:rPr>
              <w:t>→</w:t>
            </w:r>
            <w:r>
              <w:rPr>
                <w:rFonts w:hint="eastAsia" w:ascii="Arial" w:hAnsi="Arial" w:cs="Arial"/>
                <w:lang w:val="en-US" w:eastAsia="zh-CN"/>
              </w:rPr>
              <w:t>成果交接</w:t>
            </w:r>
            <w:r>
              <w:rPr>
                <w:rFonts w:hint="default" w:ascii="Arial" w:hAnsi="Arial" w:cs="Arial"/>
                <w:lang w:val="en-US" w:eastAsia="zh-CN"/>
              </w:rPr>
              <w:t>→</w:t>
            </w:r>
            <w:r>
              <w:rPr>
                <w:rFonts w:hint="eastAsia" w:ascii="Arial" w:hAnsi="Arial" w:cs="Arial"/>
                <w:lang w:val="en-US" w:eastAsia="zh-CN"/>
              </w:rPr>
              <w:t>资料整理归档</w:t>
            </w:r>
          </w:p>
          <w:p>
            <w:pPr>
              <w:rPr>
                <w:rFonts w:hint="eastAsia" w:eastAsiaTheme="minorEastAsia"/>
                <w:sz w:val="20"/>
                <w:lang w:eastAsia="zh-CN"/>
              </w:rPr>
            </w:pPr>
            <w:r>
              <w:rPr>
                <w:sz w:val="20"/>
              </w:rPr>
              <w:t>工程招标代理</w:t>
            </w:r>
            <w:r>
              <w:rPr>
                <w:rFonts w:hint="eastAsia"/>
                <w:sz w:val="20"/>
                <w:lang w:eastAsia="zh-CN"/>
              </w:rPr>
              <w:t>：</w:t>
            </w:r>
            <w:r>
              <w:rPr>
                <w:rFonts w:hint="eastAsia"/>
                <w:lang w:val="en-US" w:eastAsia="zh-CN"/>
              </w:rPr>
              <w:t>接受招标委托</w:t>
            </w:r>
            <w:r>
              <w:rPr>
                <w:rFonts w:hint="default" w:ascii="Arial" w:hAnsi="Arial" w:cs="Arial"/>
                <w:lang w:val="en-US" w:eastAsia="zh-CN"/>
              </w:rPr>
              <w:t>→</w:t>
            </w:r>
            <w:r>
              <w:rPr>
                <w:rFonts w:hint="eastAsia"/>
                <w:lang w:val="en-US" w:eastAsia="zh-CN"/>
              </w:rPr>
              <w:t>发布招标公告</w:t>
            </w:r>
            <w:r>
              <w:rPr>
                <w:rFonts w:hint="default" w:ascii="Arial" w:hAnsi="Arial" w:cs="Arial"/>
                <w:lang w:val="en-US" w:eastAsia="zh-CN"/>
              </w:rPr>
              <w:t>→</w:t>
            </w:r>
            <w:r>
              <w:rPr>
                <w:rFonts w:hint="eastAsia" w:ascii="Arial" w:hAnsi="Arial" w:cs="Arial"/>
                <w:lang w:val="en-US" w:eastAsia="zh-CN"/>
              </w:rPr>
              <w:t>进行资格预审</w:t>
            </w:r>
            <w:r>
              <w:rPr>
                <w:rFonts w:hint="default" w:ascii="Arial" w:hAnsi="Arial" w:cs="Arial"/>
                <w:lang w:val="en-US" w:eastAsia="zh-CN"/>
              </w:rPr>
              <w:t>→</w:t>
            </w:r>
            <w:r>
              <w:rPr>
                <w:rFonts w:hint="eastAsia"/>
                <w:lang w:val="en-US" w:eastAsia="zh-CN"/>
              </w:rPr>
              <w:t>发放招标文件</w:t>
            </w:r>
            <w:r>
              <w:rPr>
                <w:rFonts w:hint="default" w:ascii="Arial" w:hAnsi="Arial" w:cs="Arial"/>
                <w:lang w:val="en-US" w:eastAsia="zh-CN"/>
              </w:rPr>
              <w:t>→</w:t>
            </w:r>
            <w:r>
              <w:rPr>
                <w:rFonts w:hint="eastAsia"/>
                <w:lang w:val="en-US" w:eastAsia="zh-CN"/>
              </w:rPr>
              <w:t>答疑会</w:t>
            </w:r>
            <w:r>
              <w:rPr>
                <w:rFonts w:hint="default" w:ascii="Arial" w:hAnsi="Arial" w:cs="Arial"/>
                <w:lang w:val="en-US" w:eastAsia="zh-CN"/>
              </w:rPr>
              <w:t>→</w:t>
            </w:r>
            <w:r>
              <w:rPr>
                <w:rFonts w:hint="eastAsia" w:ascii="Arial" w:hAnsi="Arial" w:cs="Arial"/>
                <w:lang w:val="en-US" w:eastAsia="zh-CN"/>
              </w:rPr>
              <w:t>组建评标委员会</w:t>
            </w:r>
            <w:r>
              <w:rPr>
                <w:rFonts w:hint="default" w:ascii="Arial" w:hAnsi="Arial" w:cs="Arial"/>
                <w:lang w:val="en-US" w:eastAsia="zh-CN"/>
              </w:rPr>
              <w:t>→</w:t>
            </w:r>
            <w:r>
              <w:rPr>
                <w:rFonts w:hint="eastAsia" w:ascii="Arial" w:hAnsi="Arial" w:cs="Arial"/>
                <w:lang w:val="en-US" w:eastAsia="zh-CN"/>
              </w:rPr>
              <w:t>开标</w:t>
            </w:r>
            <w:r>
              <w:rPr>
                <w:rFonts w:hint="default" w:ascii="Arial" w:hAnsi="Arial" w:cs="Arial"/>
                <w:lang w:val="en-US" w:eastAsia="zh-CN"/>
              </w:rPr>
              <w:t>→</w:t>
            </w:r>
            <w:r>
              <w:rPr>
                <w:rFonts w:hint="eastAsia" w:ascii="Arial" w:hAnsi="Arial" w:cs="Arial"/>
                <w:lang w:val="en-US" w:eastAsia="zh-CN"/>
              </w:rPr>
              <w:t>评标</w:t>
            </w:r>
            <w:r>
              <w:rPr>
                <w:rFonts w:hint="default" w:ascii="Arial" w:hAnsi="Arial" w:cs="Arial"/>
                <w:lang w:val="en-US" w:eastAsia="zh-CN"/>
              </w:rPr>
              <w:t>→</w:t>
            </w:r>
            <w:r>
              <w:rPr>
                <w:rFonts w:hint="eastAsia" w:ascii="Arial" w:hAnsi="Arial" w:cs="Arial"/>
                <w:lang w:val="en-US" w:eastAsia="zh-CN"/>
              </w:rPr>
              <w:t>定标</w:t>
            </w:r>
            <w:r>
              <w:rPr>
                <w:rFonts w:hint="default" w:ascii="Arial" w:hAnsi="Arial" w:cs="Arial"/>
                <w:lang w:val="en-US" w:eastAsia="zh-CN"/>
              </w:rPr>
              <w:t>→</w:t>
            </w:r>
            <w:r>
              <w:rPr>
                <w:rFonts w:hint="eastAsia" w:ascii="Arial" w:hAnsi="Arial" w:cs="Arial"/>
                <w:lang w:val="en-US" w:eastAsia="zh-CN"/>
              </w:rPr>
              <w:t>资料整理归档</w:t>
            </w:r>
          </w:p>
          <w:p>
            <w:r>
              <w:rPr>
                <w:sz w:val="20"/>
              </w:rPr>
              <w:t>工程建设项目管理（工程项目财政评价、工程项目过程控制）</w:t>
            </w:r>
            <w:r>
              <w:rPr>
                <w:rFonts w:hint="eastAsia"/>
                <w:sz w:val="20"/>
                <w:lang w:eastAsia="zh-CN"/>
              </w:rPr>
              <w:t>：</w:t>
            </w:r>
            <w:r>
              <w:rPr>
                <w:rFonts w:hint="eastAsia"/>
                <w:lang w:val="en-US" w:eastAsia="zh-CN"/>
              </w:rPr>
              <w:t>接受咨询项目委托</w:t>
            </w:r>
            <w:r>
              <w:rPr>
                <w:rFonts w:hint="default" w:ascii="Arial" w:hAnsi="Arial" w:cs="Arial"/>
                <w:lang w:val="en-US" w:eastAsia="zh-CN"/>
              </w:rPr>
              <w:t>→</w:t>
            </w:r>
            <w:r>
              <w:rPr>
                <w:rFonts w:hint="eastAsia"/>
                <w:lang w:val="en-US" w:eastAsia="zh-CN"/>
              </w:rPr>
              <w:t>明确咨询标的</w:t>
            </w:r>
            <w:r>
              <w:rPr>
                <w:rFonts w:hint="default" w:ascii="Arial" w:hAnsi="Arial" w:cs="Arial"/>
                <w:lang w:val="en-US" w:eastAsia="zh-CN"/>
              </w:rPr>
              <w:t>→</w:t>
            </w:r>
            <w:r>
              <w:rPr>
                <w:rFonts w:hint="eastAsia" w:ascii="Arial" w:hAnsi="Arial" w:cs="Arial"/>
                <w:lang w:val="en-US" w:eastAsia="zh-CN"/>
              </w:rPr>
              <w:t>收集资料</w:t>
            </w:r>
            <w:r>
              <w:rPr>
                <w:rFonts w:hint="default" w:ascii="Arial" w:hAnsi="Arial" w:cs="Arial"/>
                <w:lang w:val="en-US" w:eastAsia="zh-CN"/>
              </w:rPr>
              <w:t>→</w:t>
            </w:r>
            <w:r>
              <w:rPr>
                <w:rFonts w:hint="eastAsia"/>
                <w:lang w:val="en-US" w:eastAsia="zh-CN"/>
              </w:rPr>
              <w:t>制定咨询实施方案</w:t>
            </w:r>
            <w:r>
              <w:rPr>
                <w:rFonts w:hint="default" w:ascii="Arial" w:hAnsi="Arial" w:cs="Arial"/>
                <w:lang w:val="en-US" w:eastAsia="zh-CN"/>
              </w:rPr>
              <w:t>→</w:t>
            </w:r>
            <w:r>
              <w:rPr>
                <w:rFonts w:hint="eastAsia"/>
                <w:lang w:val="en-US" w:eastAsia="zh-CN"/>
              </w:rPr>
              <w:t>开展工程造价工作</w:t>
            </w:r>
            <w:r>
              <w:rPr>
                <w:rFonts w:hint="default" w:ascii="Arial" w:hAnsi="Arial" w:cs="Arial"/>
                <w:lang w:val="en-US" w:eastAsia="zh-CN"/>
              </w:rPr>
              <w:t>→</w:t>
            </w:r>
            <w:r>
              <w:rPr>
                <w:rFonts w:hint="eastAsia" w:ascii="Arial" w:hAnsi="Arial" w:cs="Arial"/>
                <w:lang w:val="en-US" w:eastAsia="zh-CN"/>
              </w:rPr>
              <w:t>形成成果</w:t>
            </w:r>
            <w:r>
              <w:rPr>
                <w:rFonts w:hint="default" w:ascii="Arial" w:hAnsi="Arial" w:cs="Arial"/>
                <w:lang w:val="en-US" w:eastAsia="zh-CN"/>
              </w:rPr>
              <w:t>→</w:t>
            </w:r>
            <w:r>
              <w:rPr>
                <w:rFonts w:hint="eastAsia" w:ascii="Arial" w:hAnsi="Arial" w:cs="Arial"/>
                <w:lang w:val="en-US" w:eastAsia="zh-CN"/>
              </w:rPr>
              <w:t>成果审定</w:t>
            </w:r>
            <w:r>
              <w:rPr>
                <w:rFonts w:hint="default" w:ascii="Arial" w:hAnsi="Arial" w:cs="Arial"/>
                <w:lang w:val="en-US" w:eastAsia="zh-CN"/>
              </w:rPr>
              <w:t>→</w:t>
            </w:r>
            <w:r>
              <w:rPr>
                <w:rFonts w:hint="eastAsia" w:ascii="Arial" w:hAnsi="Arial" w:cs="Arial"/>
                <w:lang w:val="en-US" w:eastAsia="zh-CN"/>
              </w:rPr>
              <w:t>成果交接</w:t>
            </w:r>
            <w:r>
              <w:rPr>
                <w:rFonts w:hint="default" w:ascii="Arial" w:hAnsi="Arial" w:cs="Arial"/>
                <w:lang w:val="en-US" w:eastAsia="zh-CN"/>
              </w:rPr>
              <w:t>→</w:t>
            </w:r>
            <w:r>
              <w:rPr>
                <w:rFonts w:hint="eastAsia" w:ascii="Arial" w:hAnsi="Arial" w:cs="Arial"/>
                <w:lang w:val="en-US" w:eastAsia="zh-CN"/>
              </w:rPr>
              <w:t>资料整理归档</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2022年10月14日 上午至2022年10月15日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r>
              <w:rPr>
                <w:rFonts w:hint="eastAsia" w:ascii="宋体" w:hAnsi="宋体" w:cs="宋体"/>
                <w:color w:val="000000"/>
                <w:kern w:val="0"/>
                <w:lang w:eastAsia="zh-CN"/>
              </w:rPr>
              <w:t>☑</w:t>
            </w:r>
            <w:r>
              <w:rPr>
                <w:rFonts w:hint="eastAsia" w:ascii="宋体" w:hAnsi="宋体" w:cs="宋体"/>
                <w:color w:val="000000"/>
                <w:kern w:val="0"/>
                <w:szCs w:val="21"/>
              </w:rPr>
              <w:t>现场</w:t>
            </w:r>
            <w:r>
              <w:rPr>
                <w:rFonts w:hint="eastAsia" w:ascii="宋体" w:hAnsi="宋体" w:cs="宋体"/>
                <w:color w:val="000000"/>
                <w:kern w:val="0"/>
                <w:szCs w:val="21"/>
                <w:lang w:val="en-US" w:eastAsia="zh-CN"/>
              </w:rPr>
              <w:t>结合远程审核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asciiTheme="minorEastAsia" w:hAnsiTheme="minorEastAsia" w:eastAsiaTheme="minorEastAsia"/>
                <w:sz w:val="20"/>
              </w:rPr>
              <w:t>成都市高新区神仙树南路8号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top"/>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E：工程造价咨询、工程招标代理、工程建设项目管理（工程项目财政评价、工程项目过程控制）所涉及场所的相关环境管理活动</w:t>
            </w:r>
          </w:p>
          <w:p>
            <w:r>
              <w:t>O：工程造价咨询、工程招标代理、工程建设项目管理（工程项目财政评价、工程项目过程控制）所涉及场所的相关职业健康安全管理活动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E：34.01.02</w:t>
            </w:r>
          </w:p>
          <w:p>
            <w:r>
              <w:t>O：34.01.02B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2022年01月05日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cs="Times New Roman" w:asciiTheme="minorEastAsia" w:hAnsiTheme="minorEastAsia" w:eastAsiaTheme="minorEastAsia"/>
                <w:sz w:val="20"/>
              </w:rPr>
              <w:t>四川信德工程造价咨询有限公司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成都市高新区神仙树南路8号</w:t>
            </w:r>
          </w:p>
        </w:tc>
        <w:tc>
          <w:tcPr>
            <w:tcW w:w="2267" w:type="dxa"/>
            <w:vAlign w:val="top"/>
          </w:tcPr>
          <w:p>
            <w:pPr>
              <w:rPr>
                <w:lang w:val="de-DE" w:eastAsia="ja-JP"/>
              </w:rPr>
            </w:pPr>
            <w:r>
              <w:rPr>
                <w:rFonts w:asciiTheme="minorEastAsia" w:hAnsiTheme="minorEastAsia" w:eastAsiaTheme="minorEastAsia"/>
                <w:sz w:val="20"/>
              </w:rPr>
              <w:t>成都市高新区神仙树南路8号</w:t>
            </w:r>
          </w:p>
        </w:tc>
        <w:tc>
          <w:tcPr>
            <w:tcW w:w="571" w:type="dxa"/>
            <w:vAlign w:val="center"/>
          </w:tcPr>
          <w:p>
            <w:pPr>
              <w:rPr>
                <w:rFonts w:hint="default" w:eastAsia="宋体"/>
                <w:lang w:val="en-US" w:eastAsia="zh-CN"/>
              </w:rPr>
            </w:pPr>
            <w:r>
              <w:rPr>
                <w:rFonts w:hint="eastAsia"/>
                <w:lang w:val="en-US" w:eastAsia="zh-CN"/>
              </w:rPr>
              <w:t>36</w:t>
            </w:r>
          </w:p>
        </w:tc>
        <w:tc>
          <w:tcPr>
            <w:tcW w:w="2803" w:type="dxa"/>
            <w:vAlign w:val="center"/>
          </w:tcPr>
          <w:p>
            <w:pPr>
              <w:rPr>
                <w:lang w:eastAsia="ja-JP"/>
              </w:rPr>
            </w:pPr>
            <w:r>
              <w:rPr>
                <w:sz w:val="20"/>
              </w:rPr>
              <w:t>E：工程造价咨询、工程招标代理、工程建设项目管理（工程项目财政评价、工程项目过程控制）所涉及场所的相关环境管理活动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cs="Times New Roman" w:asciiTheme="minorEastAsia" w:hAnsiTheme="minorEastAsia" w:eastAsiaTheme="minorEastAsia"/>
                <w:sz w:val="20"/>
              </w:rPr>
              <w:t>四川信德工程造价咨询有限公司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成都市高新区神仙树南路8号</w:t>
            </w:r>
          </w:p>
        </w:tc>
        <w:tc>
          <w:tcPr>
            <w:tcW w:w="2267" w:type="dxa"/>
            <w:vAlign w:val="top"/>
          </w:tcPr>
          <w:p>
            <w:pPr>
              <w:rPr>
                <w:lang w:eastAsia="ja-JP"/>
              </w:rPr>
            </w:pPr>
            <w:r>
              <w:rPr>
                <w:rFonts w:asciiTheme="minorEastAsia" w:hAnsiTheme="minorEastAsia" w:eastAsiaTheme="minorEastAsia"/>
                <w:sz w:val="20"/>
              </w:rPr>
              <w:t>成都市高新区神仙树南路8号</w:t>
            </w:r>
          </w:p>
        </w:tc>
        <w:tc>
          <w:tcPr>
            <w:tcW w:w="571" w:type="dxa"/>
            <w:vAlign w:val="center"/>
          </w:tcPr>
          <w:p>
            <w:pPr>
              <w:rPr>
                <w:rFonts w:hint="default" w:eastAsia="宋体"/>
                <w:lang w:val="en-US" w:eastAsia="zh-CN"/>
              </w:rPr>
            </w:pPr>
            <w:r>
              <w:rPr>
                <w:rFonts w:hint="eastAsia"/>
                <w:lang w:val="en-US" w:eastAsia="zh-CN"/>
              </w:rPr>
              <w:t>36</w:t>
            </w:r>
          </w:p>
        </w:tc>
        <w:tc>
          <w:tcPr>
            <w:tcW w:w="2803" w:type="dxa"/>
            <w:vAlign w:val="center"/>
          </w:tcPr>
          <w:p>
            <w:pPr>
              <w:rPr>
                <w:lang w:eastAsia="ja-JP"/>
              </w:rPr>
            </w:pPr>
            <w:r>
              <w:rPr>
                <w:sz w:val="20"/>
              </w:rPr>
              <w:t>O：工程造价咨询、工程招标代理、工程建设项目管理（工程项目财政评价、工程项目过程控制）所涉及场所的相关职业健康安全管理活动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r>
              <w:t>E:34.01.02</w:t>
            </w:r>
          </w:p>
          <w:p>
            <w:r>
              <w:t>O:34.01.02B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55880</wp:posOffset>
                  </wp:positionH>
                  <wp:positionV relativeFrom="paragraph">
                    <wp:posOffset>163195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2022年10月15</w:t>
            </w:r>
            <w:bookmarkStart w:id="34" w:name="_GoBack"/>
            <w:bookmarkEnd w:id="34"/>
            <w:r>
              <w:rPr>
                <w:rFonts w:hint="eastAsia" w:ascii="宋体"/>
                <w:b/>
                <w:color w:val="0000FF"/>
                <w:szCs w:val="21"/>
                <w:lang w:val="en-US" w:eastAsia="zh-CN"/>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：绿色环保，遵</w:t>
            </w:r>
            <w:r>
              <w:rPr>
                <w:rFonts w:hint="eastAsia" w:ascii="Times New Roman" w:hAnsi="Times New Roman" w:eastAsia="宋体" w:cs="Times New Roman"/>
                <w:lang w:val="en-US" w:eastAsia="zh-CN"/>
              </w:rPr>
              <w:t>纪</w:t>
            </w:r>
            <w:r>
              <w:rPr>
                <w:rFonts w:hint="eastAsia" w:ascii="Times New Roman" w:hAnsi="Times New Roman" w:eastAsia="宋体" w:cs="Times New Roman"/>
              </w:rPr>
              <w:t>守法，污染预防</w:t>
            </w:r>
            <w:r>
              <w:rPr>
                <w:rFonts w:hint="eastAsia" w:ascii="Times New Roman" w:hAnsi="Times New Roman" w:eastAsia="宋体" w:cs="Times New Roman"/>
                <w:lang w:eastAsia="zh-CN"/>
              </w:rPr>
              <w:t>，</w:t>
            </w:r>
            <w:r>
              <w:rPr>
                <w:rFonts w:hint="eastAsia" w:ascii="Times New Roman" w:hAnsi="Times New Roman" w:eastAsia="宋体" w:cs="Times New Roman"/>
              </w:rPr>
              <w:t>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rPr>
                <w:rFonts w:hint="eastAsia" w:eastAsia="宋体"/>
                <w:lang w:val="en-US" w:eastAsia="zh-CN"/>
              </w:rPr>
            </w:pP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固废分类收集，合规处置率100%</w:t>
                  </w:r>
                </w:p>
              </w:tc>
              <w:tc>
                <w:tcPr>
                  <w:tcW w:w="2773"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cs="Times New Roman"/>
                      <w:lang w:val="en-US" w:eastAsia="zh-CN"/>
                    </w:rPr>
                    <w:t>办公室</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全年火灾事故发生率为“0”。</w:t>
                  </w:r>
                </w:p>
              </w:tc>
              <w:tc>
                <w:tcPr>
                  <w:tcW w:w="277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cs="Times New Roman"/>
                      <w:lang w:val="en-US" w:eastAsia="zh-CN"/>
                    </w:rPr>
                    <w:t>办公室</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lang w:val="en-US" w:eastAsia="zh-CN"/>
              </w:rPr>
              <w:t>300</w:t>
            </w:r>
            <w:r>
              <w:rPr>
                <w:rFonts w:hint="eastAsia" w:eastAsia="宋体"/>
              </w:rPr>
              <w:t>平方米；生产车间</w:t>
            </w:r>
            <w:r>
              <w:rPr>
                <w:rFonts w:hint="eastAsia"/>
                <w:lang w:val="en-US" w:eastAsia="zh-CN"/>
              </w:rPr>
              <w:t xml:space="preserve"> </w:t>
            </w:r>
            <w:r>
              <w:rPr>
                <w:rFonts w:hint="eastAsia" w:eastAsia="宋体"/>
              </w:rPr>
              <w:t>个；库房</w:t>
            </w:r>
            <w:r>
              <w:rPr>
                <w:rFonts w:hint="eastAsia"/>
                <w:lang w:val="en-US" w:eastAsia="zh-CN"/>
              </w:rPr>
              <w:t xml:space="preserve">  </w:t>
            </w:r>
            <w:r>
              <w:rPr>
                <w:rFonts w:hint="eastAsia" w:eastAsia="宋体"/>
              </w:rPr>
              <w:t>个；实验室</w:t>
            </w:r>
            <w:r>
              <w:rPr>
                <w:rFonts w:hint="eastAsia"/>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电脑、打印机</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u w:val="single"/>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829"/>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829" w:type="dxa"/>
                </w:tcPr>
                <w:p>
                  <w:pPr>
                    <w:shd w:val="clear" w:color="auto" w:fill="EBF1DE" w:themeFill="accent3" w:themeFillTint="32"/>
                    <w:jc w:val="left"/>
                  </w:pPr>
                  <w:r>
                    <w:rPr>
                      <w:rFonts w:hint="eastAsia"/>
                    </w:rPr>
                    <w:t>控制措施</w:t>
                  </w:r>
                </w:p>
              </w:tc>
              <w:tc>
                <w:tcPr>
                  <w:tcW w:w="3101"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829" w:type="dxa"/>
                  <w:vAlign w:val="top"/>
                </w:tcPr>
                <w:p>
                  <w:pPr>
                    <w:spacing w:line="360" w:lineRule="exact"/>
                  </w:pPr>
                  <w:r>
                    <w:rPr>
                      <w:rFonts w:hint="eastAsia" w:ascii="宋体" w:hAnsi="宋体"/>
                      <w:szCs w:val="21"/>
                    </w:rPr>
                    <w:t>制定</w:t>
                  </w:r>
                  <w:r>
                    <w:rPr>
                      <w:rFonts w:hint="eastAsia" w:ascii="宋体" w:hAnsi="宋体"/>
                      <w:szCs w:val="21"/>
                      <w:lang w:val="en-US" w:eastAsia="zh-CN"/>
                    </w:rPr>
                    <w:t>能源消耗</w:t>
                  </w:r>
                  <w:r>
                    <w:rPr>
                      <w:rFonts w:hint="eastAsia" w:ascii="宋体" w:hAnsi="宋体"/>
                      <w:szCs w:val="21"/>
                    </w:rPr>
                    <w:t xml:space="preserve">管理方案、运行控制程序   </w:t>
                  </w:r>
                </w:p>
              </w:tc>
              <w:tc>
                <w:tcPr>
                  <w:tcW w:w="3101"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829" w:type="dxa"/>
                  <w:vAlign w:val="top"/>
                </w:tcPr>
                <w:p>
                  <w:pPr>
                    <w:spacing w:line="360" w:lineRule="exact"/>
                  </w:pPr>
                  <w:r>
                    <w:rPr>
                      <w:rFonts w:hint="eastAsia" w:ascii="宋体" w:hAnsi="宋体"/>
                      <w:szCs w:val="21"/>
                    </w:rPr>
                    <w:t>制定</w:t>
                  </w:r>
                  <w:r>
                    <w:rPr>
                      <w:rFonts w:hint="eastAsia" w:ascii="宋体" w:hAnsi="宋体"/>
                      <w:szCs w:val="21"/>
                      <w:lang w:val="en-US" w:eastAsia="zh-CN"/>
                    </w:rPr>
                    <w:t>资源消耗</w:t>
                  </w:r>
                  <w:r>
                    <w:rPr>
                      <w:rFonts w:hint="eastAsia" w:ascii="宋体" w:hAnsi="宋体"/>
                      <w:szCs w:val="21"/>
                    </w:rPr>
                    <w:t xml:space="preserve">管理方案、运行控制程序   </w:t>
                  </w:r>
                </w:p>
              </w:tc>
              <w:tc>
                <w:tcPr>
                  <w:tcW w:w="3101"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829" w:type="dxa"/>
                  <w:vAlign w:val="top"/>
                </w:tcPr>
                <w:p>
                  <w:pPr>
                    <w:spacing w:line="360" w:lineRule="exact"/>
                  </w:pPr>
                  <w:r>
                    <w:rPr>
                      <w:rFonts w:hint="eastAsia" w:ascii="宋体" w:hAnsi="宋体"/>
                      <w:szCs w:val="21"/>
                    </w:rPr>
                    <w:t xml:space="preserve">制定环境管理方案、运行控制程序   </w:t>
                  </w:r>
                </w:p>
              </w:tc>
              <w:tc>
                <w:tcPr>
                  <w:tcW w:w="3101"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829" w:type="dxa"/>
                  <w:vAlign w:val="top"/>
                </w:tcPr>
                <w:p>
                  <w:pPr>
                    <w:spacing w:line="360" w:lineRule="exact"/>
                  </w:pPr>
                  <w:r>
                    <w:rPr>
                      <w:rFonts w:hint="eastAsia" w:ascii="宋体" w:hAnsi="宋体"/>
                      <w:szCs w:val="21"/>
                    </w:rPr>
                    <w:t xml:space="preserve">制定环境管理方案、运行控制程序   </w:t>
                  </w:r>
                </w:p>
              </w:tc>
              <w:tc>
                <w:tcPr>
                  <w:tcW w:w="3101"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829" w:type="dxa"/>
                  <w:vAlign w:val="top"/>
                </w:tcPr>
                <w:p>
                  <w:pPr>
                    <w:spacing w:line="360" w:lineRule="exact"/>
                  </w:pPr>
                  <w:r>
                    <w:rPr>
                      <w:rFonts w:hint="eastAsia" w:ascii="宋体" w:hAnsi="宋体"/>
                      <w:szCs w:val="21"/>
                    </w:rPr>
                    <w:t xml:space="preserve">制定环境管理方案、运行控制程序   </w:t>
                  </w:r>
                </w:p>
              </w:tc>
              <w:tc>
                <w:tcPr>
                  <w:tcW w:w="3101"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829" w:type="dxa"/>
                  <w:vAlign w:val="top"/>
                </w:tcPr>
                <w:p>
                  <w:pPr>
                    <w:spacing w:line="360" w:lineRule="exact"/>
                  </w:pPr>
                  <w:r>
                    <w:rPr>
                      <w:rFonts w:hint="eastAsia" w:ascii="宋体" w:hAnsi="宋体"/>
                      <w:szCs w:val="21"/>
                    </w:rPr>
                    <w:t xml:space="preserve">制定环境管理方案、运行控制程序   </w:t>
                  </w:r>
                </w:p>
              </w:tc>
              <w:tc>
                <w:tcPr>
                  <w:tcW w:w="3101"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829" w:type="dxa"/>
                  <w:vAlign w:val="top"/>
                </w:tcPr>
                <w:p>
                  <w:pPr>
                    <w:spacing w:line="360" w:lineRule="exact"/>
                  </w:pPr>
                  <w:r>
                    <w:rPr>
                      <w:rFonts w:hint="eastAsia" w:ascii="宋体" w:hAnsi="宋体"/>
                      <w:szCs w:val="21"/>
                    </w:rPr>
                    <w:t xml:space="preserve">制定环境管理方案、运行控制程序   </w:t>
                  </w:r>
                </w:p>
              </w:tc>
              <w:tc>
                <w:tcPr>
                  <w:tcW w:w="3101"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829"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101"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829" w:type="dxa"/>
                </w:tcPr>
                <w:p>
                  <w:pPr>
                    <w:shd w:val="clear" w:color="auto" w:fill="EBF1DE" w:themeFill="accent3" w:themeFillTint="32"/>
                    <w:jc w:val="left"/>
                  </w:pPr>
                </w:p>
              </w:tc>
              <w:tc>
                <w:tcPr>
                  <w:tcW w:w="3101"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15</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2022年6月10日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2022年6月20日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rPr>
                <w:color w:val="auto"/>
              </w:rPr>
            </w:pPr>
            <w:r>
              <w:rPr>
                <w:rFonts w:hint="eastAsia"/>
                <w:color w:val="auto"/>
                <w:lang w:eastAsia="zh-CN"/>
              </w:rPr>
              <w:t>□</w:t>
            </w:r>
            <w:r>
              <w:rPr>
                <w:rFonts w:hint="eastAsia"/>
                <w:color w:val="auto"/>
              </w:rPr>
              <w:t xml:space="preserve">安全作业控制  </w:t>
            </w:r>
            <w:r>
              <w:rPr>
                <w:rFonts w:hint="eastAsia"/>
                <w:color w:val="auto"/>
                <w:lang w:eastAsia="zh-CN"/>
              </w:rPr>
              <w:t>□</w:t>
            </w:r>
            <w:r>
              <w:rPr>
                <w:rFonts w:hint="eastAsia"/>
                <w:color w:val="auto"/>
              </w:rPr>
              <w:t xml:space="preserve">职业危害管理  </w:t>
            </w:r>
            <w:r>
              <w:rPr>
                <w:rFonts w:hint="eastAsia"/>
                <w:color w:val="auto"/>
                <w:lang w:eastAsia="zh-CN"/>
              </w:rPr>
              <w:t>■</w:t>
            </w:r>
            <w:r>
              <w:rPr>
                <w:rFonts w:hint="eastAsia"/>
                <w:color w:val="auto"/>
              </w:rPr>
              <w:t xml:space="preserve">消防控制 □危化品管理 □特种设备管理 </w:t>
            </w:r>
          </w:p>
          <w:p>
            <w:pPr>
              <w:spacing w:before="40" w:after="40"/>
              <w:rPr>
                <w:color w:val="auto"/>
              </w:rPr>
            </w:pPr>
            <w:r>
              <w:rPr>
                <w:rFonts w:hint="eastAsia"/>
                <w:color w:val="auto"/>
              </w:rPr>
              <w:t xml:space="preserve">□安评三同时 □职评三同时 </w:t>
            </w:r>
            <w:r>
              <w:rPr>
                <w:rFonts w:hint="eastAsia"/>
                <w:color w:val="auto"/>
                <w:lang w:eastAsia="zh-CN"/>
              </w:rPr>
              <w:t>□</w:t>
            </w:r>
            <w:r>
              <w:rPr>
                <w:rFonts w:hint="eastAsia"/>
                <w:color w:val="auto"/>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jc w:val="left"/>
              <w:rPr>
                <w:rFonts w:hint="eastAsia" w:ascii="Times New Roman" w:hAnsi="Times New Roman" w:eastAsia="宋体" w:cs="Times New Roman"/>
                <w:u w:val="single"/>
                <w:lang w:val="en-GB"/>
              </w:rPr>
            </w:pPr>
            <w:r>
              <w:rPr>
                <w:rFonts w:hint="eastAsia"/>
                <w:lang w:val="en-GB"/>
              </w:rPr>
              <w:t>最高管理者制定了文件化的职业健康安全管理体系</w:t>
            </w:r>
            <w:r>
              <w:rPr>
                <w:rFonts w:hint="eastAsia" w:ascii="Times New Roman" w:hAnsi="Times New Roman" w:eastAsia="宋体" w:cs="Times New Roman"/>
                <w:lang w:val="en-GB"/>
              </w:rPr>
              <w:t>方针</w:t>
            </w:r>
            <w:r>
              <w:rPr>
                <w:rFonts w:hint="eastAsia" w:ascii="Times New Roman" w:hAnsi="Times New Roman" w:eastAsia="宋体" w:cs="Times New Roman"/>
                <w:u w:val="single"/>
                <w:lang w:val="en-GB"/>
              </w:rPr>
              <w:t>：</w:t>
            </w:r>
            <w:r>
              <w:rPr>
                <w:rFonts w:hint="eastAsia" w:ascii="Times New Roman" w:hAnsi="Times New Roman" w:eastAsia="宋体" w:cs="Times New Roman"/>
                <w:u w:val="single"/>
                <w:lang w:val="en-GB" w:eastAsia="zh-CN"/>
              </w:rPr>
              <w:t>“</w:t>
            </w:r>
            <w:r>
              <w:rPr>
                <w:rFonts w:hint="eastAsia" w:ascii="宋体" w:hAnsi="宋体" w:eastAsia="宋体" w:cs="宋体"/>
                <w:szCs w:val="21"/>
                <w:u w:val="single"/>
                <w:lang w:val="en-US" w:eastAsia="zh-CN"/>
              </w:rPr>
              <w:t>保障健康，确保安全；遵守法规，持续改进</w:t>
            </w:r>
            <w:r>
              <w:rPr>
                <w:rFonts w:hint="eastAsia" w:ascii="Times New Roman" w:hAnsi="Times New Roman" w:eastAsia="宋体" w:cs="Times New Roman"/>
                <w:u w:val="single"/>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综合部</w:t>
            </w:r>
          </w:p>
          <w:p>
            <w:pPr>
              <w:rPr>
                <w:highlight w:val="none"/>
              </w:rPr>
            </w:pPr>
            <w:r>
              <w:rPr>
                <w:rFonts w:hint="eastAsia"/>
                <w:highlight w:val="none"/>
              </w:rPr>
              <w:t>安全的主管部门是—</w:t>
            </w:r>
            <w:r>
              <w:rPr>
                <w:rFonts w:hint="eastAsia"/>
                <w:highlight w:val="none"/>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cs="Times New Roman"/>
                <w:lang w:eastAsia="zh-CN"/>
              </w:rPr>
              <w:t>黄慧君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444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Pr>
                <w:p>
                  <w:r>
                    <w:rPr>
                      <w:rFonts w:hint="eastAsia"/>
                    </w:rPr>
                    <w:t>主要的风险或机遇描述</w:t>
                  </w:r>
                </w:p>
              </w:tc>
              <w:tc>
                <w:tcPr>
                  <w:tcW w:w="444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default" w:eastAsia="宋体"/>
                      <w:lang w:val="en-US" w:eastAsia="zh-CN"/>
                    </w:rPr>
                  </w:pPr>
                  <w:r>
                    <w:rPr>
                      <w:rFonts w:hint="eastAsia"/>
                      <w:lang w:val="en-US" w:eastAsia="zh-CN"/>
                    </w:rPr>
                    <w:t>火灾</w:t>
                  </w:r>
                </w:p>
              </w:tc>
              <w:tc>
                <w:tcPr>
                  <w:tcW w:w="4440"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val="en-US" w:eastAsia="zh-CN"/>
                    </w:rPr>
                    <w:t>触电</w:t>
                  </w:r>
                </w:p>
              </w:tc>
              <w:tc>
                <w:tcPr>
                  <w:tcW w:w="44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ascii="Times New Roman" w:hAnsi="Times New Roman" w:eastAsia="宋体" w:cs="Times New Roman"/>
                      <w:kern w:val="2"/>
                      <w:sz w:val="21"/>
                      <w:szCs w:val="24"/>
                      <w:lang w:val="en-US" w:eastAsia="zh-CN" w:bidi="ar-SA"/>
                    </w:rPr>
                  </w:pPr>
                </w:p>
              </w:tc>
              <w:tc>
                <w:tcPr>
                  <w:tcW w:w="4440"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w:t>
            </w:r>
            <w:r>
              <w:rPr>
                <w:rFonts w:hint="eastAsia"/>
                <w:lang w:val="en-US" w:eastAsia="zh-CN"/>
              </w:rPr>
              <w:t xml:space="preserve"> </w:t>
            </w:r>
            <w:r>
              <w:rPr>
                <w:rFonts w:hint="eastAsia"/>
                <w:lang w:eastAsia="zh-CN"/>
              </w:rPr>
              <w:t>□</w:t>
            </w:r>
            <w:r>
              <w:rPr>
                <w:rFonts w:hint="eastAsia"/>
              </w:rPr>
              <w:t xml:space="preserve">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467"/>
              <w:gridCol w:w="133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333" w:type="dxa"/>
                  <w:shd w:val="clear" w:color="auto" w:fill="auto"/>
                </w:tcPr>
                <w:p>
                  <w:pPr>
                    <w:rPr>
                      <w:rFonts w:ascii="宋体" w:hAnsi="宋体"/>
                    </w:rPr>
                  </w:pPr>
                  <w:r>
                    <w:rPr>
                      <w:rFonts w:hint="eastAsia" w:ascii="宋体" w:hAnsi="宋体"/>
                    </w:rPr>
                    <w:t>责任部门</w:t>
                  </w:r>
                </w:p>
              </w:tc>
              <w:tc>
                <w:tcPr>
                  <w:tcW w:w="2308"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全年火灾事故发生率为“0”。</w:t>
                  </w:r>
                </w:p>
              </w:tc>
              <w:tc>
                <w:tcPr>
                  <w:tcW w:w="2467"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火灾预防、火灾应急预案</w:t>
                  </w:r>
                </w:p>
              </w:tc>
              <w:tc>
                <w:tcPr>
                  <w:tcW w:w="1333" w:type="dxa"/>
                  <w:shd w:val="clear" w:color="auto" w:fill="auto"/>
                  <w:vAlign w:val="center"/>
                </w:tcPr>
                <w:p>
                  <w:pPr>
                    <w:rPr>
                      <w:rFonts w:hint="eastAsia" w:ascii="Times New Roman" w:hAnsi="Times New Roman" w:eastAsia="宋体" w:cs="Times New Roman"/>
                      <w:lang w:val="en-GB" w:eastAsia="zh-CN"/>
                    </w:rPr>
                  </w:pPr>
                  <w:r>
                    <w:rPr>
                      <w:rFonts w:hint="eastAsia" w:cs="Times New Roman"/>
                      <w:lang w:val="en-US" w:eastAsia="zh-CN"/>
                    </w:rPr>
                    <w:t>办公室</w:t>
                  </w:r>
                </w:p>
              </w:tc>
              <w:tc>
                <w:tcPr>
                  <w:tcW w:w="2308" w:type="dxa"/>
                  <w:shd w:val="clear" w:color="auto" w:fill="auto"/>
                  <w:vAlign w:val="center"/>
                </w:tcPr>
                <w:p>
                  <w:pPr>
                    <w:rPr>
                      <w:rFonts w:hint="default" w:ascii="Times New Roman" w:hAnsi="Times New Roman" w:eastAsia="宋体" w:cs="Times New Roman"/>
                      <w:lang w:val="en-US"/>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全年触电伤害事故发生率为“0”。</w:t>
                  </w:r>
                </w:p>
              </w:tc>
              <w:tc>
                <w:tcPr>
                  <w:tcW w:w="2467" w:type="dxa"/>
                  <w:shd w:val="clear" w:color="auto" w:fill="auto"/>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安全管理方案</w:t>
                  </w:r>
                </w:p>
              </w:tc>
              <w:tc>
                <w:tcPr>
                  <w:tcW w:w="1333" w:type="dxa"/>
                  <w:shd w:val="clear" w:color="auto" w:fill="auto"/>
                  <w:vAlign w:val="top"/>
                </w:tcPr>
                <w:p>
                  <w:pPr>
                    <w:rPr>
                      <w:rFonts w:hint="eastAsia" w:ascii="Times New Roman" w:hAnsi="Times New Roman" w:eastAsia="宋体" w:cs="Times New Roman"/>
                    </w:rPr>
                  </w:pPr>
                  <w:r>
                    <w:rPr>
                      <w:rFonts w:hint="eastAsia" w:cs="Times New Roman"/>
                      <w:lang w:val="en-US" w:eastAsia="zh-CN"/>
                    </w:rPr>
                    <w:t>办公室</w:t>
                  </w:r>
                </w:p>
              </w:tc>
              <w:tc>
                <w:tcPr>
                  <w:tcW w:w="2308"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4"/>
                    <w:tabs>
                      <w:tab w:val="left" w:pos="1200"/>
                    </w:tabs>
                    <w:spacing w:line="500" w:lineRule="exact"/>
                    <w:jc w:val="left"/>
                  </w:pPr>
                </w:p>
              </w:tc>
              <w:tc>
                <w:tcPr>
                  <w:tcW w:w="2467" w:type="dxa"/>
                  <w:shd w:val="clear" w:color="auto" w:fill="auto"/>
                  <w:vAlign w:val="center"/>
                </w:tcPr>
                <w:p>
                  <w:pPr>
                    <w:rPr>
                      <w:rFonts w:hint="default" w:ascii="宋体" w:hAnsi="宋体" w:eastAsia="宋体"/>
                      <w:lang w:val="en-US" w:eastAsia="zh-CN"/>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300</w:t>
            </w:r>
            <w:r>
              <w:rPr>
                <w:rFonts w:hint="eastAsia" w:ascii="Times New Roman" w:hAnsi="Times New Roman" w:eastAsia="宋体" w:cs="Times New Roman"/>
              </w:rPr>
              <w:t>平方米；生产车间</w:t>
            </w:r>
            <w:r>
              <w:rPr>
                <w:rFonts w:hint="eastAsia" w:ascii="Times New Roman" w:hAnsi="Times New Roman"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主要生产设备有：电脑、打印机等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lang w:eastAsia="zh-CN"/>
              </w:rPr>
              <w:t>□</w:t>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Wingdings" w:hAnsi="Wingdings"/>
                      <w:lang w:eastAsia="zh-CN"/>
                    </w:rPr>
                    <w:t>□</w:t>
                  </w:r>
                  <w:r>
                    <w:rPr>
                      <w:rFonts w:hint="eastAsia"/>
                    </w:rPr>
                    <w:t>安全装置 □挂牌上锁管理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ascii="Wingdings" w:hAnsi="Wingdings"/>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Wingdings" w:hAnsi="Wingdings"/>
                      <w:lang w:eastAsia="zh-CN"/>
                    </w:rPr>
                    <w:t>□</w:t>
                  </w:r>
                  <w:r>
                    <w:rPr>
                      <w:rFonts w:hint="eastAsia"/>
                    </w:rPr>
                    <w:t xml:space="preserve">定期检测  □压力巡视 </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15</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u w:val="singl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w:t>
            </w:r>
            <w:r>
              <w:rPr>
                <w:rFonts w:hint="eastAsia" w:cs="Times New Roman"/>
                <w:highlight w:val="none"/>
                <w:lang w:val="en-US" w:eastAsia="zh-CN"/>
              </w:rPr>
              <w:t>2</w:t>
            </w:r>
            <w:r>
              <w:rPr>
                <w:rFonts w:hint="eastAsia" w:ascii="Times New Roman" w:hAnsi="Times New Roman" w:eastAsia="宋体" w:cs="Times New Roman"/>
                <w:highlight w:val="none"/>
                <w:lang w:val="en-US" w:eastAsia="zh-CN"/>
              </w:rPr>
              <w:t>年</w:t>
            </w:r>
            <w:r>
              <w:rPr>
                <w:rFonts w:hint="eastAsia" w:cs="Times New Roman"/>
                <w:highlight w:val="none"/>
                <w:lang w:val="en-US" w:eastAsia="zh-CN"/>
              </w:rPr>
              <w:t>6</w:t>
            </w:r>
            <w:r>
              <w:rPr>
                <w:rFonts w:hint="eastAsia" w:ascii="Times New Roman" w:hAnsi="Times New Roman" w:eastAsia="宋体" w:cs="Times New Roman"/>
                <w:highlight w:val="none"/>
                <w:lang w:val="en-US" w:eastAsia="zh-CN"/>
              </w:rPr>
              <w:t>月</w:t>
            </w:r>
            <w:r>
              <w:rPr>
                <w:rFonts w:hint="eastAsia" w:cs="Times New Roman"/>
                <w:highlight w:val="none"/>
                <w:lang w:val="en-US" w:eastAsia="zh-CN"/>
              </w:rPr>
              <w:t>10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w:t>
            </w:r>
            <w:r>
              <w:rPr>
                <w:rFonts w:hint="eastAsia" w:cs="Times New Roman"/>
                <w:lang w:val="en-US" w:eastAsia="zh-CN"/>
              </w:rPr>
              <w:t>2</w:t>
            </w:r>
            <w:r>
              <w:rPr>
                <w:rFonts w:hint="eastAsia" w:ascii="Times New Roman" w:hAnsi="Times New Roman" w:eastAsia="宋体" w:cs="Times New Roman"/>
                <w:lang w:val="en-US" w:eastAsia="zh-CN"/>
              </w:rPr>
              <w:t>年</w:t>
            </w:r>
            <w:r>
              <w:rPr>
                <w:rFonts w:hint="eastAsia" w:cs="Times New Roman"/>
                <w:lang w:val="en-US" w:eastAsia="zh-CN"/>
              </w:rPr>
              <w:t>6</w:t>
            </w:r>
            <w:r>
              <w:rPr>
                <w:rFonts w:hint="eastAsia" w:ascii="Times New Roman" w:hAnsi="Times New Roman" w:eastAsia="宋体" w:cs="Times New Roman"/>
                <w:lang w:val="en-US" w:eastAsia="zh-CN"/>
              </w:rPr>
              <w:t>月</w:t>
            </w:r>
            <w:r>
              <w:rPr>
                <w:rFonts w:hint="eastAsia" w:ascii="Times New Roman" w:hAnsi="Times New Roman" w:cs="Times New Roman"/>
                <w:lang w:val="en-US" w:eastAsia="zh-CN"/>
              </w:rPr>
              <w:t>2</w:t>
            </w:r>
            <w:r>
              <w:rPr>
                <w:rFonts w:hint="eastAsia" w:cs="Times New Roman"/>
                <w:lang w:val="en-US" w:eastAsia="zh-CN"/>
              </w:rPr>
              <w:t>0</w:t>
            </w:r>
            <w:r>
              <w:rPr>
                <w:rFonts w:hint="eastAsia" w:ascii="Times New Roman" w:hAnsi="Times New Roman" w:eastAsia="宋体" w:cs="Times New Roman"/>
                <w:lang w:val="en-US" w:eastAsia="zh-CN"/>
              </w:rPr>
              <w:t>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1D3732D4"/>
    <w:rsid w:val="55E36F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15177</Words>
  <Characters>15869</Characters>
  <Lines>150</Lines>
  <Paragraphs>42</Paragraphs>
  <TotalTime>3</TotalTime>
  <ScaleCrop>false</ScaleCrop>
  <LinksUpToDate>false</LinksUpToDate>
  <CharactersWithSpaces>17009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2022-10-14T12:30:24Z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