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1116-2022-EO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四川信德工程造价咨询有限公司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2022年10月12日 下午至2022年10月12日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r>
              <w:rPr>
                <w:rFonts w:hint="eastAsia" w:ascii="宋体"/>
                <w:b/>
                <w:color w:val="000000"/>
                <w:szCs w:val="21"/>
                <w:lang w:eastAsia="zh-CN"/>
              </w:rPr>
              <w:t>☑</w:t>
            </w:r>
            <w:r>
              <w:rPr>
                <w:rFonts w:hint="eastAsia" w:ascii="宋体"/>
                <w:b/>
                <w:color w:val="000000"/>
                <w:szCs w:val="21"/>
              </w:rPr>
              <w:t>现场</w:t>
            </w:r>
            <w:r>
              <w:rPr>
                <w:rFonts w:hint="eastAsia" w:ascii="宋体"/>
                <w:b/>
                <w:color w:val="000000"/>
                <w:szCs w:val="21"/>
                <w:lang w:val="en-US" w:eastAsia="zh-CN"/>
              </w:rPr>
              <w:t>结合远程</w:t>
            </w:r>
            <w:r>
              <w:rPr>
                <w:rFonts w:hint="eastAsia" w:ascii="宋体"/>
                <w:b/>
                <w:color w:val="000000"/>
                <w:szCs w:val="21"/>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成都市高新区神仙树南路8号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宋明珠</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2019-N1EMS-1247783</w:t>
            </w:r>
          </w:p>
          <w:p>
            <w:pPr>
              <w:spacing w:line="240" w:lineRule="exact"/>
              <w:jc w:val="center"/>
              <w:rPr>
                <w:b/>
                <w:color w:val="000000"/>
                <w:szCs w:val="21"/>
              </w:rPr>
            </w:pPr>
            <w:r>
              <w:rPr>
                <w:b/>
                <w:color w:val="000000"/>
                <w:szCs w:val="21"/>
              </w:rPr>
              <w:t>2021-N1OHSMS-1247783</w:t>
            </w:r>
          </w:p>
        </w:tc>
        <w:tc>
          <w:tcPr>
            <w:tcW w:w="1140" w:type="dxa"/>
            <w:vAlign w:val="center"/>
          </w:tcPr>
          <w:p>
            <w:pPr>
              <w:spacing w:line="240" w:lineRule="exact"/>
              <w:jc w:val="center"/>
              <w:rPr>
                <w:b/>
                <w:color w:val="000000"/>
                <w:szCs w:val="21"/>
              </w:rPr>
            </w:pPr>
            <w:r>
              <w:rPr>
                <w:b/>
                <w:color w:val="000000"/>
                <w:szCs w:val="21"/>
              </w:rPr>
              <w:t>E:34.01.02</w:t>
            </w:r>
          </w:p>
          <w:p>
            <w:pPr>
              <w:spacing w:line="240" w:lineRule="exact"/>
              <w:jc w:val="center"/>
              <w:rPr>
                <w:b/>
                <w:color w:val="000000"/>
                <w:szCs w:val="21"/>
              </w:rPr>
            </w:pPr>
            <w:r>
              <w:rPr>
                <w:b/>
                <w:color w:val="000000"/>
                <w:szCs w:val="21"/>
              </w:rPr>
              <w:t>O:34.01.02B</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2021-N1EMS-1265256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四川信德工程造价咨询有限公司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成都市高新区神仙树南路8号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610041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成都市高新区神仙树南路8号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610041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魏俊奇</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魏俊奇</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周云</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魏俊奇</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rPr>
                <w:rFonts w:hint="eastAsia" w:ascii="宋体" w:hAnsi="宋体"/>
                <w:b/>
                <w:color w:val="000000"/>
                <w:szCs w:val="21"/>
              </w:rPr>
            </w:pPr>
            <w:r>
              <w:rPr>
                <w:rFonts w:hint="eastAsia" w:ascii="宋体" w:hAnsi="宋体"/>
                <w:b/>
                <w:color w:val="000000"/>
                <w:szCs w:val="21"/>
              </w:rPr>
              <w:t>服务：</w:t>
            </w:r>
            <w:bookmarkStart w:id="35" w:name="审核范围"/>
          </w:p>
          <w:p>
            <w:r>
              <w:t>E：工程造价咨询、工程招标代理、工程建设项目管理（工程项目财政评价、工程项目过程控制）所涉及场所的相关环境管理活动</w:t>
            </w:r>
          </w:p>
          <w:p>
            <w:pPr>
              <w:tabs>
                <w:tab w:val="left" w:pos="360"/>
              </w:tabs>
              <w:ind w:left="360" w:hanging="360"/>
              <w:rPr>
                <w:rFonts w:ascii="宋体" w:hAnsi="宋体"/>
                <w:b/>
                <w:color w:val="000000"/>
                <w:szCs w:val="21"/>
              </w:rPr>
            </w:pPr>
            <w:r>
              <w:t>O：工程造价咨询、工程招标代理、工程建设项目管理（工程项目财政评价、工程项目过程控制）所涉及场所的相关职业健康安全管理活动</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jc w:val="both"/>
              <w:rPr>
                <w:rFonts w:hint="eastAsia" w:ascii="Times New Roman" w:hAnsi="Times New Roman" w:eastAsia="宋体" w:cs="Times New Roman"/>
                <w:lang w:val="en-US" w:eastAsia="zh-CN"/>
              </w:rPr>
            </w:pPr>
            <w:r>
              <w:t>工程造价咨</w:t>
            </w:r>
            <w:r>
              <w:rPr>
                <w:rFonts w:ascii="Times New Roman" w:hAnsi="Times New Roman" w:eastAsia="宋体" w:cs="Times New Roman"/>
              </w:rPr>
              <w:t>询</w:t>
            </w:r>
            <w:r>
              <w:rPr>
                <w:rFonts w:hint="eastAsia" w:ascii="Times New Roman" w:hAnsi="Times New Roman" w:eastAsia="宋体" w:cs="Times New Roman"/>
                <w:lang w:val="en-US" w:eastAsia="zh-CN"/>
              </w:rPr>
              <w:t>:接受咨询项目委托</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明确咨询标的</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收集资料</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制定咨询实施方案</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开展工程造价工作</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形成成果</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成果审定</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成果交接</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资料整理归档</w:t>
            </w:r>
          </w:p>
          <w:p>
            <w:pPr>
              <w:jc w:val="both"/>
              <w:rPr>
                <w:rFonts w:hint="eastAsia" w:ascii="Times New Roman" w:hAnsi="Times New Roman" w:eastAsia="宋体" w:cs="Times New Roman"/>
                <w:lang w:eastAsia="zh-CN"/>
              </w:rPr>
            </w:pPr>
            <w:r>
              <w:rPr>
                <w:rFonts w:ascii="Times New Roman" w:hAnsi="Times New Roman" w:eastAsia="宋体" w:cs="Times New Roman"/>
              </w:rPr>
              <w:t>工程招标代理</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接受招标委托</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发布招标公告</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进行资格预审</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发放招标文件</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答疑会</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组建评标委员会</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开标</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评标</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定标</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资料整理归档</w:t>
            </w:r>
          </w:p>
          <w:p>
            <w:pPr>
              <w:tabs>
                <w:tab w:val="left" w:pos="360"/>
              </w:tabs>
              <w:ind w:left="360" w:hanging="360"/>
              <w:jc w:val="both"/>
              <w:rPr>
                <w:rFonts w:ascii="宋体"/>
                <w:color w:val="000000"/>
                <w:szCs w:val="21"/>
              </w:rPr>
            </w:pPr>
            <w:r>
              <w:rPr>
                <w:rFonts w:ascii="Times New Roman" w:hAnsi="Times New Roman" w:eastAsia="宋体" w:cs="Times New Roman"/>
              </w:rPr>
              <w:t>工程建设项目管理（工程项目财政评价、工程项目过程控制）</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接受咨询项目委托</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明确咨询标的</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收集资料</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制定咨询实施方案</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开展工程造价工作</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形成成果</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成果审定</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成果交接</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资料整理归档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成都市高新区神仙树南路8号</w:t>
            </w:r>
          </w:p>
        </w:tc>
        <w:tc>
          <w:tcPr>
            <w:tcW w:w="2267" w:type="dxa"/>
          </w:tcPr>
          <w:p>
            <w:pPr>
              <w:spacing w:before="40" w:after="40"/>
              <w:rPr>
                <w:rFonts w:eastAsia="黑体"/>
                <w:szCs w:val="21"/>
                <w:lang w:val="de-DE" w:eastAsia="ja-JP"/>
              </w:rPr>
            </w:pPr>
            <w:r>
              <w:rPr>
                <w:sz w:val="21"/>
                <w:szCs w:val="21"/>
              </w:rPr>
              <w:t>成都市高新区神仙树南路8号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45</w:t>
            </w:r>
          </w:p>
        </w:tc>
        <w:tc>
          <w:tcPr>
            <w:tcW w:w="2803" w:type="dxa"/>
            <w:vAlign w:val="center"/>
          </w:tcPr>
          <w:p>
            <w:pPr>
              <w:rPr>
                <w:rFonts w:eastAsia="黑体" w:cs="Arial"/>
                <w:sz w:val="21"/>
                <w:szCs w:val="21"/>
                <w:lang w:val="en-US" w:eastAsia="ja-JP"/>
              </w:rPr>
            </w:pPr>
            <w:r>
              <w:t>E：工程造价咨询、工程招标代理、工程建设项目管理（工程项目财政评价、工程项目过程控制）所涉及场所的相关环境管理活动</w:t>
            </w:r>
          </w:p>
        </w:tc>
        <w:tc>
          <w:tcPr>
            <w:tcW w:w="669" w:type="dxa"/>
            <w:vAlign w:val="center"/>
          </w:tcPr>
          <w:p>
            <w:pPr>
              <w:spacing w:before="40" w:after="40"/>
              <w:rPr>
                <w:rFonts w:eastAsia="黑体"/>
                <w:szCs w:val="21"/>
                <w:lang w:eastAsia="ja-JP"/>
              </w:rPr>
            </w:pPr>
            <w:r>
              <w:rPr>
                <w:rFonts w:hint="eastAsia" w:ascii="宋体" w:hAnsi="宋体"/>
                <w:b/>
                <w:sz w:val="21"/>
                <w:szCs w:val="21"/>
              </w:rPr>
              <w:t>GB/T24001-2016</w:t>
            </w:r>
          </w:p>
        </w:tc>
        <w:tc>
          <w:tcPr>
            <w:tcW w:w="668" w:type="dxa"/>
            <w:shd w:val="clear" w:color="auto" w:fill="FFFFFF"/>
          </w:tcPr>
          <w:p>
            <w:pPr>
              <w:rPr>
                <w:rFonts w:eastAsia="黑体"/>
                <w:szCs w:val="21"/>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r>
              <w:rPr>
                <w:sz w:val="21"/>
                <w:szCs w:val="21"/>
              </w:rPr>
              <w:t>成都市高新区神仙树南路8号</w:t>
            </w:r>
          </w:p>
        </w:tc>
        <w:tc>
          <w:tcPr>
            <w:tcW w:w="2267" w:type="dxa"/>
            <w:vAlign w:val="center"/>
          </w:tcPr>
          <w:p>
            <w:pPr>
              <w:spacing w:before="40" w:after="40"/>
              <w:rPr>
                <w:rFonts w:eastAsia="黑体"/>
                <w:szCs w:val="21"/>
                <w:lang w:eastAsia="ja-JP"/>
              </w:rPr>
            </w:pPr>
            <w:r>
              <w:rPr>
                <w:sz w:val="21"/>
                <w:szCs w:val="21"/>
              </w:rPr>
              <w:t>成都市高新区神仙树南路8号</w:t>
            </w:r>
          </w:p>
        </w:tc>
        <w:tc>
          <w:tcPr>
            <w:tcW w:w="571" w:type="dxa"/>
            <w:vAlign w:val="center"/>
          </w:tcPr>
          <w:p>
            <w:pPr>
              <w:spacing w:before="40" w:after="40"/>
              <w:rPr>
                <w:rFonts w:eastAsia="黑体"/>
                <w:szCs w:val="21"/>
                <w:lang w:eastAsia="ja-JP"/>
              </w:rPr>
            </w:pPr>
            <w:r>
              <w:rPr>
                <w:rFonts w:hint="eastAsia" w:eastAsia="黑体"/>
                <w:szCs w:val="21"/>
                <w:lang w:val="en-US" w:eastAsia="zh-CN"/>
              </w:rPr>
              <w:t>45</w:t>
            </w:r>
          </w:p>
        </w:tc>
        <w:tc>
          <w:tcPr>
            <w:tcW w:w="2803" w:type="dxa"/>
            <w:vAlign w:val="center"/>
          </w:tcPr>
          <w:p>
            <w:pPr>
              <w:spacing w:before="40" w:after="40"/>
              <w:rPr>
                <w:rFonts w:eastAsia="黑体"/>
                <w:szCs w:val="21"/>
                <w:lang w:eastAsia="ja-JP"/>
              </w:rPr>
            </w:pPr>
            <w:r>
              <w:t>O：工程造价咨询、工程招标代理、工程建设项目管理（工程项目财政评价、工程项目过程控制）所涉及场所的相关职业健康安全管理活动</w:t>
            </w:r>
          </w:p>
        </w:tc>
        <w:tc>
          <w:tcPr>
            <w:tcW w:w="669" w:type="dxa"/>
            <w:vAlign w:val="center"/>
          </w:tcPr>
          <w:p>
            <w:pPr>
              <w:spacing w:before="40" w:after="40"/>
              <w:rPr>
                <w:rFonts w:eastAsia="黑体"/>
                <w:szCs w:val="21"/>
                <w:lang w:eastAsia="ja-JP"/>
              </w:rPr>
            </w:pPr>
            <w:r>
              <w:rPr>
                <w:rFonts w:hint="eastAsia" w:ascii="宋体" w:hAnsi="宋体"/>
                <w:b/>
                <w:sz w:val="21"/>
                <w:szCs w:val="21"/>
              </w:rPr>
              <w:t>GB/T 45001-2020</w:t>
            </w:r>
          </w:p>
        </w:tc>
        <w:tc>
          <w:tcPr>
            <w:tcW w:w="668" w:type="dxa"/>
            <w:shd w:val="clear" w:color="auto" w:fill="FFFFFF"/>
          </w:tcPr>
          <w:p>
            <w:pPr>
              <w:rPr>
                <w:rFonts w:eastAsia="黑体"/>
                <w:szCs w:val="21"/>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auto"/>
                <w:szCs w:val="21"/>
              </w:rPr>
            </w:pPr>
            <w:r>
              <w:rPr>
                <w:rFonts w:hint="eastAsia" w:ascii="宋体" w:hAnsi="宋体"/>
                <w:b/>
                <w:color w:val="auto"/>
                <w:szCs w:val="21"/>
              </w:rPr>
              <w:t>10.</w:t>
            </w:r>
            <w:r>
              <w:rPr>
                <w:rFonts w:hint="eastAsia" w:ascii="宋体" w:hAnsi="宋体"/>
                <w:b/>
                <w:color w:val="auto"/>
                <w:szCs w:val="21"/>
                <w:u w:val="single"/>
              </w:rPr>
              <w:t>于</w:t>
            </w:r>
            <w:r>
              <w:rPr>
                <w:rFonts w:hint="eastAsia" w:ascii="宋体" w:hAnsi="宋体"/>
                <w:b/>
                <w:color w:val="auto"/>
                <w:szCs w:val="21"/>
                <w:u w:val="single"/>
                <w:lang w:val="en-US" w:eastAsia="zh-CN"/>
              </w:rPr>
              <w:t>2022</w:t>
            </w:r>
            <w:r>
              <w:rPr>
                <w:rFonts w:hint="eastAsia" w:ascii="宋体" w:hAnsi="宋体"/>
                <w:b/>
                <w:color w:val="auto"/>
                <w:szCs w:val="21"/>
                <w:u w:val="single"/>
              </w:rPr>
              <w:t xml:space="preserve">年 </w:t>
            </w:r>
            <w:r>
              <w:rPr>
                <w:rFonts w:hint="eastAsia" w:ascii="宋体" w:hAnsi="宋体"/>
                <w:b/>
                <w:color w:val="auto"/>
                <w:szCs w:val="21"/>
                <w:u w:val="single"/>
                <w:lang w:val="en-US" w:eastAsia="zh-CN"/>
              </w:rPr>
              <w:t>01</w:t>
            </w:r>
            <w:r>
              <w:rPr>
                <w:rFonts w:hint="eastAsia" w:ascii="宋体" w:hAnsi="宋体"/>
                <w:b/>
                <w:color w:val="auto"/>
                <w:szCs w:val="21"/>
                <w:u w:val="single"/>
              </w:rPr>
              <w:t xml:space="preserve">月 </w:t>
            </w:r>
            <w:r>
              <w:rPr>
                <w:rFonts w:hint="eastAsia" w:ascii="宋体" w:hAnsi="宋体"/>
                <w:b/>
                <w:color w:val="auto"/>
                <w:szCs w:val="21"/>
                <w:u w:val="single"/>
                <w:lang w:val="en-US" w:eastAsia="zh-CN"/>
              </w:rPr>
              <w:t>05</w:t>
            </w:r>
            <w:r>
              <w:rPr>
                <w:rFonts w:hint="eastAsia" w:ascii="宋体" w:hAnsi="宋体"/>
                <w:b/>
                <w:color w:val="auto"/>
                <w:szCs w:val="21"/>
                <w:u w:val="single"/>
              </w:rPr>
              <w:t>日</w:t>
            </w:r>
            <w:r>
              <w:rPr>
                <w:rFonts w:hint="eastAsia" w:ascii="宋体" w:hAnsi="宋体"/>
                <w:b/>
                <w:color w:val="auto"/>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auto"/>
                <w:spacing w:val="-10"/>
                <w:szCs w:val="21"/>
              </w:rPr>
            </w:pPr>
            <w:r>
              <w:rPr>
                <w:rFonts w:hint="eastAsia" w:ascii="宋体" w:hAnsi="宋体"/>
                <w:b/>
                <w:color w:val="auto"/>
                <w:spacing w:val="-10"/>
                <w:szCs w:val="21"/>
                <w:lang w:eastAsia="zh-CN"/>
              </w:rPr>
              <w:t>☑</w:t>
            </w:r>
            <w:r>
              <w:rPr>
                <w:rFonts w:hint="eastAsia" w:ascii="宋体" w:hAnsi="宋体"/>
                <w:b/>
                <w:color w:val="auto"/>
                <w:szCs w:val="21"/>
              </w:rPr>
              <w:t>是</w:t>
            </w:r>
          </w:p>
        </w:tc>
        <w:tc>
          <w:tcPr>
            <w:tcW w:w="1308" w:type="dxa"/>
            <w:gridSpan w:val="2"/>
          </w:tcPr>
          <w:p>
            <w:pPr>
              <w:rPr>
                <w:rFonts w:ascii="宋体"/>
                <w:b/>
                <w:color w:val="auto"/>
                <w:spacing w:val="-10"/>
                <w:szCs w:val="21"/>
              </w:rPr>
            </w:pPr>
            <w:r>
              <w:rPr>
                <w:rFonts w:hint="eastAsia" w:ascii="宋体" w:hAnsi="宋体"/>
                <w:b/>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auto"/>
                <w:szCs w:val="21"/>
              </w:rPr>
            </w:pPr>
            <w:r>
              <w:rPr>
                <w:rFonts w:hint="eastAsia" w:ascii="宋体" w:hAnsi="宋体"/>
                <w:b/>
                <w:color w:val="auto"/>
                <w:szCs w:val="21"/>
              </w:rPr>
              <w:t>11.已根据策划和标准要求于</w:t>
            </w:r>
            <w:r>
              <w:rPr>
                <w:rFonts w:hint="eastAsia" w:ascii="宋体" w:hAnsi="宋体"/>
                <w:b/>
                <w:color w:val="auto"/>
                <w:szCs w:val="21"/>
                <w:u w:val="single"/>
              </w:rPr>
              <w:t xml:space="preserve"> </w:t>
            </w:r>
            <w:r>
              <w:rPr>
                <w:rFonts w:hint="eastAsia" w:ascii="宋体" w:hAnsi="宋体"/>
                <w:b/>
                <w:color w:val="auto"/>
                <w:szCs w:val="21"/>
                <w:u w:val="single"/>
                <w:lang w:val="en-US" w:eastAsia="zh-CN"/>
              </w:rPr>
              <w:t>2022</w:t>
            </w:r>
            <w:r>
              <w:rPr>
                <w:rFonts w:hint="eastAsia" w:ascii="宋体" w:hAnsi="宋体"/>
                <w:b/>
                <w:color w:val="auto"/>
                <w:szCs w:val="21"/>
                <w:u w:val="single"/>
              </w:rPr>
              <w:t>年</w:t>
            </w:r>
            <w:r>
              <w:rPr>
                <w:rFonts w:hint="eastAsia" w:ascii="宋体" w:hAnsi="宋体"/>
                <w:b/>
                <w:color w:val="auto"/>
                <w:szCs w:val="21"/>
                <w:u w:val="single"/>
                <w:lang w:val="en-US" w:eastAsia="zh-CN"/>
              </w:rPr>
              <w:t>06</w:t>
            </w:r>
            <w:r>
              <w:rPr>
                <w:rFonts w:hint="eastAsia" w:ascii="宋体" w:hAnsi="宋体"/>
                <w:b/>
                <w:color w:val="auto"/>
                <w:szCs w:val="21"/>
                <w:u w:val="single"/>
              </w:rPr>
              <w:t>月</w:t>
            </w:r>
            <w:r>
              <w:rPr>
                <w:rFonts w:hint="eastAsia" w:ascii="宋体" w:hAnsi="宋体"/>
                <w:b/>
                <w:color w:val="auto"/>
                <w:szCs w:val="21"/>
                <w:u w:val="single"/>
                <w:lang w:val="en-US" w:eastAsia="zh-CN"/>
              </w:rPr>
              <w:t>10</w:t>
            </w:r>
            <w:r>
              <w:rPr>
                <w:rFonts w:hint="eastAsia" w:ascii="宋体" w:hAnsi="宋体"/>
                <w:b/>
                <w:color w:val="auto"/>
                <w:szCs w:val="21"/>
                <w:u w:val="single"/>
              </w:rPr>
              <w:t>日</w:t>
            </w:r>
            <w:r>
              <w:rPr>
                <w:rFonts w:hint="eastAsia" w:ascii="宋体" w:hAnsi="宋体"/>
                <w:b/>
                <w:color w:val="auto"/>
                <w:szCs w:val="21"/>
              </w:rPr>
              <w:t>由有能力的人实施了内部审核，覆盖所有场所、部门和过程，</w:t>
            </w:r>
            <w:r>
              <w:rPr>
                <w:rFonts w:hint="eastAsia" w:ascii="宋体" w:hAnsi="宋体"/>
                <w:b/>
                <w:color w:val="auto"/>
                <w:szCs w:val="21"/>
                <w:lang w:val="en-GB"/>
              </w:rPr>
              <w:t>组织通过内审验证了管理体系的</w:t>
            </w:r>
            <w:r>
              <w:rPr>
                <w:rFonts w:hint="eastAsia" w:ascii="宋体" w:hAnsi="宋体"/>
                <w:b/>
                <w:color w:val="auto"/>
                <w:szCs w:val="21"/>
              </w:rPr>
              <w:t>符合性</w:t>
            </w:r>
            <w:r>
              <w:rPr>
                <w:rFonts w:hint="eastAsia" w:ascii="宋体" w:hAnsi="宋体"/>
                <w:b/>
                <w:color w:val="auto"/>
                <w:szCs w:val="21"/>
                <w:lang w:val="en-GB"/>
              </w:rPr>
              <w:t>及有效性，</w:t>
            </w:r>
            <w:r>
              <w:rPr>
                <w:rFonts w:hint="eastAsia" w:ascii="宋体" w:hAnsi="宋体"/>
                <w:b/>
                <w:color w:val="auto"/>
                <w:szCs w:val="21"/>
              </w:rPr>
              <w:t>并对不符合项制订和采取了纠正措施。</w:t>
            </w:r>
          </w:p>
        </w:tc>
        <w:tc>
          <w:tcPr>
            <w:tcW w:w="970" w:type="dxa"/>
            <w:gridSpan w:val="2"/>
          </w:tcPr>
          <w:p>
            <w:pPr>
              <w:rPr>
                <w:rFonts w:ascii="宋体"/>
                <w:color w:val="auto"/>
                <w:spacing w:val="-10"/>
                <w:szCs w:val="21"/>
              </w:rPr>
            </w:pPr>
            <w:r>
              <w:rPr>
                <w:rFonts w:hint="eastAsia" w:ascii="宋体" w:hAnsi="宋体"/>
                <w:color w:val="auto"/>
                <w:spacing w:val="-10"/>
                <w:szCs w:val="21"/>
                <w:lang w:eastAsia="zh-CN"/>
              </w:rPr>
              <w:t>☑</w:t>
            </w:r>
            <w:r>
              <w:rPr>
                <w:rFonts w:hint="eastAsia" w:ascii="宋体" w:hAnsi="宋体"/>
                <w:color w:val="auto"/>
                <w:szCs w:val="21"/>
              </w:rPr>
              <w:t>是</w:t>
            </w:r>
          </w:p>
        </w:tc>
        <w:tc>
          <w:tcPr>
            <w:tcW w:w="1308" w:type="dxa"/>
            <w:gridSpan w:val="2"/>
          </w:tcPr>
          <w:p>
            <w:pPr>
              <w:rPr>
                <w:rFonts w:ascii="宋体"/>
                <w:color w:val="auto"/>
                <w:spacing w:val="-10"/>
                <w:szCs w:val="21"/>
              </w:rPr>
            </w:pP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auto"/>
                <w:sz w:val="21"/>
                <w:szCs w:val="21"/>
                <w:lang w:val="en-GB" w:eastAsia="zh-CN"/>
              </w:rPr>
            </w:pPr>
            <w:r>
              <w:rPr>
                <w:rFonts w:hint="eastAsia" w:ascii="宋体" w:hAnsi="宋体" w:eastAsia="宋体"/>
                <w:color w:val="auto"/>
                <w:sz w:val="21"/>
                <w:szCs w:val="21"/>
                <w:lang w:val="en-US" w:eastAsia="zh-CN"/>
              </w:rPr>
              <w:t>12.已根据策划于</w:t>
            </w:r>
            <w:r>
              <w:rPr>
                <w:rFonts w:hint="eastAsia" w:ascii="宋体" w:hAnsi="宋体" w:eastAsia="宋体"/>
                <w:color w:val="auto"/>
                <w:sz w:val="21"/>
                <w:szCs w:val="21"/>
                <w:u w:val="single"/>
                <w:lang w:val="en-US" w:eastAsia="zh-CN"/>
              </w:rPr>
              <w:t>2022年 06月20日</w:t>
            </w:r>
            <w:r>
              <w:rPr>
                <w:rFonts w:hint="eastAsia" w:ascii="宋体" w:hAnsi="宋体" w:eastAsia="宋体"/>
                <w:color w:val="auto"/>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auto"/>
                <w:spacing w:val="-10"/>
                <w:szCs w:val="21"/>
              </w:rPr>
            </w:pPr>
            <w:r>
              <w:rPr>
                <w:rFonts w:hint="eastAsia" w:ascii="宋体" w:hAnsi="宋体"/>
                <w:color w:val="auto"/>
                <w:spacing w:val="-10"/>
                <w:szCs w:val="21"/>
                <w:lang w:eastAsia="zh-CN"/>
              </w:rPr>
              <w:t>☑</w:t>
            </w:r>
            <w:r>
              <w:rPr>
                <w:rFonts w:hint="eastAsia" w:ascii="宋体" w:hAnsi="宋体"/>
                <w:color w:val="auto"/>
                <w:szCs w:val="21"/>
              </w:rPr>
              <w:t>是</w:t>
            </w:r>
          </w:p>
        </w:tc>
        <w:tc>
          <w:tcPr>
            <w:tcW w:w="1308" w:type="dxa"/>
            <w:gridSpan w:val="2"/>
          </w:tcPr>
          <w:p>
            <w:pPr>
              <w:rPr>
                <w:rFonts w:ascii="宋体"/>
                <w:color w:val="auto"/>
                <w:spacing w:val="-10"/>
                <w:szCs w:val="21"/>
              </w:rPr>
            </w:pP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6" w:name="二阶段审核日期"/>
            <w:r>
              <w:rPr>
                <w:rFonts w:hint="eastAsia" w:ascii="宋体"/>
                <w:b/>
                <w:color w:val="000000"/>
                <w:szCs w:val="21"/>
              </w:rPr>
              <w:t>2022-10-1</w:t>
            </w:r>
            <w:bookmarkEnd w:id="36"/>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hint="eastAsia" w:ascii="宋体" w:hAnsi="宋体"/>
          <w:b/>
          <w:bCs/>
          <w:color w:val="000000"/>
          <w:szCs w:val="21"/>
        </w:rPr>
      </w:pPr>
    </w:p>
    <w:p>
      <w:pPr>
        <w:spacing w:before="156" w:beforeLines="50" w:after="62" w:afterLines="20" w:line="360" w:lineRule="exact"/>
        <w:rPr>
          <w:rFonts w:hint="eastAsia" w:ascii="宋体" w:hAnsi="宋体"/>
          <w:b/>
          <w:bCs/>
          <w:color w:val="000000"/>
          <w:szCs w:val="21"/>
        </w:rPr>
      </w:pPr>
    </w:p>
    <w:p>
      <w:pPr>
        <w:spacing w:before="156" w:beforeLines="50" w:after="62" w:afterLines="20" w:line="360" w:lineRule="exact"/>
        <w:rPr>
          <w:rFonts w:hint="eastAsia" w:ascii="宋体" w:hAnsi="宋体"/>
          <w:b/>
          <w:bCs/>
          <w:color w:val="000000"/>
          <w:szCs w:val="21"/>
        </w:rPr>
      </w:pPr>
    </w:p>
    <w:p>
      <w:pPr>
        <w:spacing w:before="156" w:beforeLines="50" w:after="62" w:afterLines="20" w:line="360" w:lineRule="exact"/>
        <w:rPr>
          <w:rFonts w:hint="eastAsia" w:ascii="宋体" w:hAnsi="宋体"/>
          <w:b/>
          <w:bCs/>
          <w:color w:val="000000"/>
          <w:szCs w:val="21"/>
        </w:rPr>
      </w:pPr>
    </w:p>
    <w:p>
      <w:pPr>
        <w:spacing w:before="156" w:beforeLines="50" w:after="62" w:afterLines="20" w:line="360" w:lineRule="exact"/>
        <w:rPr>
          <w:rFonts w:ascii="宋体"/>
          <w:b/>
          <w:bCs/>
          <w:color w:val="000000"/>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1798320</wp:posOffset>
            </wp:positionH>
            <wp:positionV relativeFrom="paragraph">
              <wp:posOffset>311785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sz w:val="22"/>
          <w:szCs w:val="22"/>
        </w:rPr>
        <w:drawing>
          <wp:anchor distT="0" distB="0" distL="114300" distR="114300" simplePos="0" relativeHeight="251664384" behindDoc="0" locked="0" layoutInCell="1" allowOverlap="1">
            <wp:simplePos x="0" y="0"/>
            <wp:positionH relativeFrom="column">
              <wp:posOffset>4391025</wp:posOffset>
            </wp:positionH>
            <wp:positionV relativeFrom="paragraph">
              <wp:posOffset>351155</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a:stretch>
                      <a:fillRect/>
                    </a:stretch>
                  </pic:blipFill>
                  <pic:spPr>
                    <a:xfrm>
                      <a:off x="0" y="0"/>
                      <a:ext cx="516255" cy="33845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w:t>
      </w:r>
      <w:r>
        <w:rPr>
          <w:rFonts w:hint="eastAsia" w:ascii="宋体" w:hAnsi="宋体"/>
          <w:b/>
          <w:color w:val="000000"/>
          <w:szCs w:val="21"/>
          <w:lang w:val="en-US" w:eastAsia="zh-CN"/>
        </w:rPr>
        <w:t xml:space="preserve">  </w:t>
      </w:r>
      <w:r>
        <w:rPr>
          <w:rFonts w:hint="eastAsia" w:ascii="宋体" w:hAnsi="宋体"/>
          <w:b/>
          <w:color w:val="000000"/>
          <w:szCs w:val="21"/>
        </w:rPr>
        <w:t>期</w:t>
      </w:r>
      <w:r>
        <w:rPr>
          <w:rFonts w:ascii="宋体" w:hAnsi="宋体"/>
          <w:b/>
          <w:color w:val="000000"/>
          <w:szCs w:val="21"/>
        </w:rPr>
        <w:t xml:space="preserve">:  </w:t>
      </w:r>
      <w:r>
        <w:rPr>
          <w:rFonts w:hint="eastAsia"/>
          <w:b/>
          <w:color w:val="000000"/>
          <w:szCs w:val="21"/>
          <w:lang w:val="en-US" w:eastAsia="zh-CN"/>
        </w:rPr>
        <w:t>2022年10月12日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hint="eastAsia" w:ascii="宋体" w:hAns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spacing w:line="360" w:lineRule="exact"/>
        <w:ind w:left="283" w:leftChars="135" w:firstLine="226" w:firstLineChars="108"/>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firstLine="660"/>
        <w:rPr>
          <w:rFonts w:eastAsia="隶书"/>
          <w:color w:val="000000"/>
          <w:sz w:val="21"/>
          <w:szCs w:val="21"/>
        </w:rPr>
      </w:pPr>
      <w:bookmarkStart w:id="37" w:name="_GoBack"/>
      <w:bookmarkEnd w:id="37"/>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eastAsia="宋体"/>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sz w:val="22"/>
                <w:szCs w:val="22"/>
                <w:lang w:eastAsia="zh-CN"/>
              </w:rPr>
              <w:drawing>
                <wp:anchor distT="0" distB="0" distL="114300" distR="114300" simplePos="0" relativeHeight="251665408" behindDoc="0" locked="0" layoutInCell="1" allowOverlap="1">
                  <wp:simplePos x="0" y="0"/>
                  <wp:positionH relativeFrom="column">
                    <wp:posOffset>706120</wp:posOffset>
                  </wp:positionH>
                  <wp:positionV relativeFrom="paragraph">
                    <wp:posOffset>35560</wp:posOffset>
                  </wp:positionV>
                  <wp:extent cx="812165" cy="275590"/>
                  <wp:effectExtent l="0" t="0" r="635" b="3810"/>
                  <wp:wrapNone/>
                  <wp:docPr id="3" name="图片 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2022年10月12日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2022年10月12日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DI4MWU3MDczOTkxMDk2MzJiODM1NDdkNjA1ZDJkNjkifQ=="/>
  </w:docVars>
  <w:rsids>
    <w:rsidRoot w:val="00000000"/>
    <w:rsid w:val="51B26D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spacing w:line="360" w:lineRule="auto"/>
    </w:pPr>
    <w:rPr>
      <w:color w:val="FF000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7568</Words>
  <Characters>8254</Characters>
  <Lines>67</Lines>
  <Paragraphs>18</Paragraphs>
  <TotalTime>1</TotalTime>
  <ScaleCrop>false</ScaleCrop>
  <LinksUpToDate>false</LinksUpToDate>
  <CharactersWithSpaces>8319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2022-10-14T00:26:58Z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