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4518" w:firstLineChars="15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四川信德工程造价咨询有限公司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t>工程造价咨</w:t>
            </w:r>
            <w:r>
              <w:rPr>
                <w:rFonts w:ascii="Times New Roman" w:hAnsi="Times New Roman" w:eastAsia="宋体" w:cs="Times New Roman"/>
              </w:rPr>
              <w:t>询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:接受咨询项目委托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明确咨询标的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收集资料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制定咨询实施方案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开展工程造价工作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形成成果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成果审定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成果交接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资料整理归档</w:t>
            </w:r>
          </w:p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工程招标代理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接受招标委托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发布招标公告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进行资格预审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发放招标文件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答疑会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组建评标委员会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开标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定标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资料整理归档</w:t>
            </w:r>
          </w:p>
          <w:p>
            <w:pPr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工程建设项目管理（工程项目财政评价、工程项目过程控制）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接受咨询项目委托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明确咨询标的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收集资料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制定咨询实施方案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开展工程造价工作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形成成果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成果审定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成果交接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资料整理归档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潜在火灾、固废排放，通过管理方案和应急预案控制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中华人民共和国大气污染防治法、中华人民共和国固体废物污染环境防治法  、中华人民共和国环境保护法、中华人民共和国水污染防治法、中华人民共和国环境噪声污染防治法、政府采购公开（邀请）招标操作规程（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"http://www.csres.com/detail/266747.html" \t "http://www.csres.com/_blank" </w:instrTex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DB51/T 1945-2014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）、工程建设公开（邀请）招标操作规程（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"http://www.csres.com/detail/266750.html" \t "http://www.csres.com/_blank" </w:instrTex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DB51/T 1948-2014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）、房屋建筑和市政工程项目电子招标投标系统技术标准（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"http://www.csres.com/detail/295395.html" \t "http://www.csres.com/_blank" </w:instrTex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JGJ/T 393-2017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）、国际货运代理作业规范（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"http://www.csres.com/detail/192974.html" \t "http://www.csres.com/_blank" </w:instrTex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GB/T 22151-2008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）、《建筑工程施工发包与承包计价管理办法》；建设部、财政部发布的《建设工程价款结算暂行办法》；中国建设工程造价管理协会《工程造价咨询业务操作指导规程》；《建设项目内部审计指南》等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205740</wp:posOffset>
                  </wp:positionV>
                  <wp:extent cx="906780" cy="307975"/>
                  <wp:effectExtent l="0" t="0" r="7620" b="9525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220980</wp:posOffset>
                  </wp:positionV>
                  <wp:extent cx="906780" cy="307975"/>
                  <wp:effectExtent l="0" t="0" r="7620" b="9525"/>
                  <wp:wrapNone/>
                  <wp:docPr id="4" name="图片 4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0" w:name="_GoBack"/>
      <w:bookmarkEnd w:id="0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FA0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2022-10-13T23:34:17Z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