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诺伟家具制造（廊坊）有限公司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  <w:lang w:val="en-US" w:eastAsia="zh-CN"/>
              </w:rPr>
              <w:t>次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</w:rPr>
              <w:t>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能源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评审未对影响主要能源使用的相关人员进行分析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2022年1-9月单位产品综合能耗指</w:t>
            </w:r>
            <w:r>
              <w:rPr>
                <w:rFonts w:hint="eastAsia"/>
                <w:color w:val="auto"/>
                <w:lang w:val="en-US"/>
              </w:rPr>
              <w:t>标没有实现，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组织未进行原因分析并采取改进措施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2022年1-9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月公司单位产值综合能耗 指标没有实现，组织在内部未进行原因分析并采取了改进措施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企业的内部审核不规范，审核记录的检查内容过于简单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31550"/>
    <w:rsid w:val="25AB18E6"/>
    <w:rsid w:val="4D292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2022-10-13T04:44:37Z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