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0946-2021-EnMs-2022</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诺伟家具制造（廊坊）有限公司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诺伟家具制造（廊坊）有限公司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河北省廊坊市永清县别古庄镇王希村村南</w:t>
            </w:r>
            <w:bookmarkEnd w:id="6"/>
          </w:p>
        </w:tc>
        <w:tc>
          <w:tcPr>
            <w:tcW w:w="1242" w:type="dxa"/>
            <w:vMerge w:val="restart"/>
            <w:vAlign w:val="center"/>
          </w:tcPr>
          <w:p>
            <w:r>
              <w:rPr>
                <w:rFonts w:hint="eastAsia"/>
              </w:rPr>
              <w:t>邮编</w:t>
            </w:r>
          </w:p>
        </w:tc>
        <w:tc>
          <w:tcPr>
            <w:tcW w:w="1771" w:type="dxa"/>
          </w:tcPr>
          <w:p>
            <w:bookmarkStart w:id="7" w:name="注册邮编"/>
            <w:r>
              <w:t>065600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河北省廊坊市永清县别古庄镇王希村村南</w:t>
            </w:r>
            <w:bookmarkEnd w:id="8"/>
          </w:p>
        </w:tc>
        <w:tc>
          <w:tcPr>
            <w:tcW w:w="1242" w:type="dxa"/>
            <w:vMerge w:val="continue"/>
            <w:vAlign w:val="center"/>
          </w:tcPr>
          <w:p/>
        </w:tc>
        <w:tc>
          <w:tcPr>
            <w:tcW w:w="1771" w:type="dxa"/>
          </w:tcPr>
          <w:p>
            <w:bookmarkStart w:id="9" w:name="办公邮编"/>
            <w:r>
              <w:t>065600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刘丽婷</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刘丽婷</w:t>
            </w:r>
            <w:bookmarkEnd w:id="13"/>
          </w:p>
        </w:tc>
        <w:tc>
          <w:tcPr>
            <w:tcW w:w="1313" w:type="dxa"/>
            <w:vAlign w:val="center"/>
          </w:tcPr>
          <w:p>
            <w:r>
              <w:rPr>
                <w:rFonts w:hint="eastAsia"/>
              </w:rPr>
              <w:t>管理者代表</w:t>
            </w:r>
          </w:p>
        </w:tc>
        <w:tc>
          <w:tcPr>
            <w:tcW w:w="2180" w:type="dxa"/>
          </w:tcPr>
          <w:p>
            <w:bookmarkStart w:id="14" w:name="管理者代表"/>
            <w:r>
              <w:t>刘琦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auto"/>
                <w:kern w:val="2"/>
                <w:sz w:val="21"/>
                <w:szCs w:val="22"/>
                <w:lang w:val="en-US" w:eastAsia="zh-CN" w:bidi="ar-SA"/>
              </w:rPr>
              <w:t>板</w:t>
            </w:r>
            <w:r>
              <w:rPr>
                <w:rFonts w:hint="eastAsia" w:ascii="Times New Roman" w:hAnsi="Times New Roman" w:eastAsia="宋体" w:cs="Times New Roman"/>
                <w:kern w:val="2"/>
                <w:sz w:val="21"/>
                <w:szCs w:val="24"/>
                <w:lang w:val="en-US" w:eastAsia="zh-CN" w:bidi="ar-SA"/>
              </w:rPr>
              <w:t>式家具流程：订单设计--花色选择--浸渍纸、板材--热压（电锅炉供热）--开料--封边--钻孔、开槽--质检--入库</w:t>
            </w:r>
          </w:p>
          <w:p>
            <w:pPr>
              <w:pStyle w:val="2"/>
              <w:keepNext w:val="0"/>
              <w:keepLines w:val="0"/>
              <w:pageBreakBefore w:val="0"/>
              <w:kinsoku/>
              <w:wordWrap/>
              <w:overflowPunct/>
              <w:topLinePunct w:val="0"/>
              <w:autoSpaceDE/>
              <w:autoSpaceDN/>
              <w:bidi w:val="0"/>
              <w:adjustRightInd/>
              <w:snapToGrid/>
              <w:spacing w:before="157" w:beforeLines="50"/>
              <w:ind w:left="0" w:leftChars="0" w:firstLine="0" w:firstLineChars="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椅子、沙发生产流程：订单设计--花色选择--打样--钉架--皮革、布绒开料--软包座板--缝纫--扪皮、布--安装--质检--入库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2022年10月12日 上午至2022年10月1</w:t>
            </w:r>
            <w:r>
              <w:rPr>
                <w:rFonts w:hint="eastAsia"/>
                <w:lang w:val="en-US" w:eastAsia="zh-CN"/>
              </w:rPr>
              <w:t>3</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RB/T</w:t>
            </w:r>
            <w:r>
              <w:rPr>
                <w:rFonts w:hint="eastAsia"/>
                <w:lang w:val="en-US" w:eastAsia="zh-CN"/>
              </w:rPr>
              <w:t>109-2013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Theme="minorEastAsia"/>
                <w:b/>
                <w:color w:val="0000FF"/>
                <w:szCs w:val="21"/>
                <w:lang w:eastAsia="zh-CN"/>
              </w:rPr>
            </w:pPr>
            <w:bookmarkStart w:id="29" w:name="生产地址"/>
            <w:r>
              <w:rPr>
                <w:rFonts w:asciiTheme="minorEastAsia" w:hAnsiTheme="minorEastAsia" w:eastAsiaTheme="minorEastAsia"/>
                <w:sz w:val="20"/>
              </w:rPr>
              <w:t>河北省</w:t>
            </w:r>
            <w:bookmarkEnd w:id="29"/>
            <w:r>
              <w:rPr>
                <w:rFonts w:hint="eastAsia" w:asciiTheme="minorEastAsia" w:hAnsiTheme="minorEastAsia" w:eastAsiaTheme="minorEastAsia"/>
                <w:sz w:val="20"/>
                <w:lang w:val="en-US" w:eastAsia="zh-CN"/>
              </w:rPr>
              <w:t>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木家具、家具（限水性漆工艺、红木家具）的设计、生产和销售所涉及的能源管理活动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2.10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16</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23~25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08</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50"/>
        <w:gridCol w:w="673"/>
        <w:gridCol w:w="2254"/>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650" w:type="dxa"/>
            <w:shd w:val="clear" w:color="auto" w:fill="F3F3F3"/>
            <w:tcMar>
              <w:left w:w="57" w:type="dxa"/>
              <w:right w:w="57" w:type="dxa"/>
            </w:tcMar>
          </w:tcPr>
          <w:p>
            <w:r>
              <w:rPr>
                <w:rFonts w:hint="eastAsia"/>
              </w:rPr>
              <w:t>经营场所的地址</w:t>
            </w:r>
          </w:p>
          <w:p>
            <w:r>
              <w:rPr>
                <w:rFonts w:hint="eastAsia"/>
              </w:rPr>
              <w:t>（多现场和临时现场）</w:t>
            </w:r>
          </w:p>
        </w:tc>
        <w:tc>
          <w:tcPr>
            <w:tcW w:w="673" w:type="dxa"/>
            <w:shd w:val="clear" w:color="auto" w:fill="F3F3F3"/>
            <w:tcMar>
              <w:left w:w="57" w:type="dxa"/>
              <w:right w:w="57" w:type="dxa"/>
            </w:tcMar>
          </w:tcPr>
          <w:p>
            <w:r>
              <w:rPr>
                <w:rFonts w:hint="eastAsia"/>
              </w:rPr>
              <w:t>员工人数</w:t>
            </w:r>
          </w:p>
        </w:tc>
        <w:tc>
          <w:tcPr>
            <w:tcW w:w="225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3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诺伟家具制造（廊坊）有限公司</w:t>
            </w:r>
            <w:r>
              <w:rPr>
                <w:rFonts w:hint="eastAsia"/>
                <w:sz w:val="21"/>
                <w:szCs w:val="21"/>
                <w:lang w:val="en-US" w:eastAsia="zh-CN"/>
              </w:rPr>
              <w:t>/</w:t>
            </w:r>
            <w:r>
              <w:rPr>
                <w:rFonts w:asciiTheme="minorEastAsia" w:hAnsiTheme="minorEastAsia" w:eastAsiaTheme="minorEastAsia"/>
                <w:sz w:val="20"/>
              </w:rPr>
              <w:t>河北省廊坊市永清县别古庄镇王希村村南</w:t>
            </w:r>
          </w:p>
        </w:tc>
        <w:tc>
          <w:tcPr>
            <w:tcW w:w="1650" w:type="dxa"/>
          </w:tcPr>
          <w:p>
            <w:pPr>
              <w:rPr>
                <w:lang w:val="de-DE" w:eastAsia="ja-JP"/>
              </w:rPr>
            </w:pPr>
            <w:r>
              <w:rPr>
                <w:rFonts w:asciiTheme="minorEastAsia" w:hAnsiTheme="minorEastAsia" w:eastAsiaTheme="minorEastAsia"/>
                <w:sz w:val="20"/>
              </w:rPr>
              <w:t>河北省廊坊市永清县别古庄镇王希村村南</w:t>
            </w:r>
          </w:p>
        </w:tc>
        <w:tc>
          <w:tcPr>
            <w:tcW w:w="673" w:type="dxa"/>
            <w:vAlign w:val="center"/>
          </w:tcPr>
          <w:p>
            <w:pPr>
              <w:rPr>
                <w:rFonts w:hint="default" w:eastAsia="宋体"/>
                <w:lang w:val="en-US" w:eastAsia="zh-CN"/>
              </w:rPr>
            </w:pPr>
            <w:r>
              <w:rPr>
                <w:rFonts w:hint="eastAsia"/>
                <w:lang w:val="en-US" w:eastAsia="zh-CN"/>
              </w:rPr>
              <w:t>30人</w:t>
            </w:r>
          </w:p>
        </w:tc>
        <w:tc>
          <w:tcPr>
            <w:tcW w:w="2254" w:type="dxa"/>
            <w:vAlign w:val="center"/>
          </w:tcPr>
          <w:p>
            <w:pPr>
              <w:rPr>
                <w:lang w:eastAsia="ja-JP"/>
              </w:rPr>
            </w:pPr>
            <w:r>
              <w:rPr>
                <w:rFonts w:hint="eastAsia" w:cs="Times New Roman" w:asciiTheme="minorEastAsia" w:hAnsiTheme="minorEastAsia" w:eastAsiaTheme="minorEastAsia"/>
                <w:sz w:val="20"/>
              </w:rPr>
              <w:t>木家具、家具（限水性漆工艺、红木家具）的设计、生产和销售所涉及的能源管理活动</w:t>
            </w:r>
          </w:p>
        </w:tc>
        <w:tc>
          <w:tcPr>
            <w:tcW w:w="1733" w:type="dxa"/>
            <w:vAlign w:val="center"/>
          </w:tcPr>
          <w:p>
            <w:pPr>
              <w:rPr>
                <w:rFonts w:hint="eastAsia"/>
                <w:lang w:val="en-US" w:eastAsia="zh-CN"/>
              </w:rPr>
            </w:pPr>
            <w:r>
              <w:rPr>
                <w:rFonts w:hint="eastAsia"/>
                <w:lang w:val="en-US" w:eastAsia="zh-CN"/>
              </w:rPr>
              <w:t>GB/T23331-2020</w:t>
            </w:r>
          </w:p>
          <w:p>
            <w:pPr>
              <w:pStyle w:val="27"/>
              <w:rPr>
                <w:rFonts w:hint="default"/>
                <w:lang w:val="en-US" w:eastAsia="zh-CN"/>
              </w:rPr>
            </w:pPr>
            <w:r>
              <w:rPr>
                <w:rFonts w:hint="eastAsia" w:ascii="Times New Roman" w:hAnsi="Times New Roman" w:eastAsia="宋体" w:cs="Times New Roman"/>
                <w:color w:val="auto"/>
                <w:spacing w:val="0"/>
                <w:kern w:val="2"/>
                <w:sz w:val="21"/>
                <w:szCs w:val="24"/>
                <w:lang w:val="en-US" w:eastAsia="zh-CN" w:bidi="ar-SA"/>
              </w:rPr>
              <w:t>RB/T109-2013</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650" w:type="dxa"/>
            <w:vAlign w:val="center"/>
          </w:tcPr>
          <w:p>
            <w:pPr>
              <w:rPr>
                <w:lang w:eastAsia="ja-JP"/>
              </w:rPr>
            </w:pPr>
          </w:p>
        </w:tc>
        <w:tc>
          <w:tcPr>
            <w:tcW w:w="673" w:type="dxa"/>
            <w:vAlign w:val="center"/>
          </w:tcPr>
          <w:p>
            <w:pPr>
              <w:rPr>
                <w:lang w:eastAsia="ja-JP"/>
              </w:rPr>
            </w:pPr>
          </w:p>
        </w:tc>
        <w:tc>
          <w:tcPr>
            <w:tcW w:w="2254"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650" w:type="dxa"/>
            <w:vAlign w:val="center"/>
          </w:tcPr>
          <w:p>
            <w:pPr>
              <w:rPr>
                <w:lang w:eastAsia="ja-JP"/>
              </w:rPr>
            </w:pPr>
          </w:p>
        </w:tc>
        <w:tc>
          <w:tcPr>
            <w:tcW w:w="673" w:type="dxa"/>
            <w:vAlign w:val="center"/>
          </w:tcPr>
          <w:p>
            <w:pPr>
              <w:rPr>
                <w:lang w:eastAsia="ja-JP"/>
              </w:rPr>
            </w:pPr>
          </w:p>
        </w:tc>
        <w:tc>
          <w:tcPr>
            <w:tcW w:w="2254"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650" w:type="dxa"/>
            <w:vAlign w:val="center"/>
          </w:tcPr>
          <w:p>
            <w:pPr>
              <w:rPr>
                <w:lang w:eastAsia="ja-JP"/>
              </w:rPr>
            </w:pPr>
          </w:p>
        </w:tc>
        <w:tc>
          <w:tcPr>
            <w:tcW w:w="673" w:type="dxa"/>
            <w:vAlign w:val="center"/>
          </w:tcPr>
          <w:p>
            <w:pPr>
              <w:rPr>
                <w:lang w:eastAsia="ja-JP"/>
              </w:rPr>
            </w:pPr>
          </w:p>
        </w:tc>
        <w:tc>
          <w:tcPr>
            <w:tcW w:w="2254"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650" w:type="dxa"/>
            <w:vAlign w:val="center"/>
          </w:tcPr>
          <w:p>
            <w:pPr>
              <w:rPr>
                <w:lang w:eastAsia="ja-JP"/>
              </w:rPr>
            </w:pPr>
          </w:p>
        </w:tc>
        <w:tc>
          <w:tcPr>
            <w:tcW w:w="673" w:type="dxa"/>
            <w:vAlign w:val="center"/>
          </w:tcPr>
          <w:p>
            <w:pPr>
              <w:rPr>
                <w:lang w:eastAsia="ja-JP"/>
              </w:rPr>
            </w:pPr>
          </w:p>
        </w:tc>
        <w:tc>
          <w:tcPr>
            <w:tcW w:w="2254" w:type="dxa"/>
            <w:vAlign w:val="center"/>
          </w:tcPr>
          <w:p>
            <w:pPr>
              <w:rPr>
                <w:lang w:eastAsia="ja-JP"/>
              </w:rPr>
            </w:pPr>
          </w:p>
        </w:tc>
        <w:tc>
          <w:tcPr>
            <w:tcW w:w="173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0288" behindDoc="0" locked="0" layoutInCell="1" allowOverlap="1">
                  <wp:simplePos x="0" y="0"/>
                  <wp:positionH relativeFrom="column">
                    <wp:posOffset>-262890</wp:posOffset>
                  </wp:positionH>
                  <wp:positionV relativeFrom="paragraph">
                    <wp:posOffset>7283450</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EnMS体系</w:t>
            </w:r>
            <w:r>
              <w:rPr>
                <w:rFonts w:hint="eastAsia"/>
                <w:lang w:val="en-US" w:eastAsia="zh-CN"/>
              </w:rPr>
              <w:t xml:space="preserve"> </w:t>
            </w:r>
            <w:r>
              <w:rPr>
                <w:rFonts w:hint="eastAsia"/>
              </w:rPr>
              <w:sym w:font="Wingdings 2" w:char="00A3"/>
            </w:r>
            <w:r>
              <w:rPr>
                <w:rFonts w:hint="eastAsia"/>
              </w:rPr>
              <w:t>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设备维修□人员培训</w:t>
            </w:r>
            <w:r>
              <w:rPr>
                <w:rFonts w:hint="eastAsia"/>
              </w:rPr>
              <w:sym w:font="Wingdings 2" w:char="0052"/>
            </w:r>
            <w:r>
              <w:rPr>
                <w:rFonts w:hint="eastAsia"/>
              </w:rPr>
              <w:t>其他</w:t>
            </w:r>
            <w:r>
              <w:rPr>
                <w:rFonts w:hint="eastAsia"/>
                <w:lang w:val="en-US" w:eastAsia="zh-CN"/>
              </w:rPr>
              <w:t>产品运输</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r>
              <w:rPr>
                <w:rFonts w:hint="eastAsia"/>
              </w:rPr>
              <w:t>最高管理者制定了文件化的管理体系方针：遵守法规 清洁生产</w:t>
            </w:r>
            <w:r>
              <w:rPr>
                <w:rFonts w:hint="eastAsia"/>
                <w:lang w:eastAsia="zh-CN"/>
              </w:rPr>
              <w:t>；</w:t>
            </w:r>
            <w:r>
              <w:rPr>
                <w:rFonts w:hint="eastAsia"/>
                <w:lang w:val="en-US" w:eastAsia="zh-CN"/>
              </w:rPr>
              <w:t>节能降耗</w:t>
            </w:r>
            <w:r>
              <w:rPr>
                <w:rFonts w:hint="eastAsia"/>
              </w:rPr>
              <w:t xml:space="preserve"> 创新改造</w:t>
            </w:r>
            <w:r>
              <w:rPr>
                <w:rFonts w:hint="eastAsia"/>
                <w:lang w:eastAsia="zh-CN"/>
              </w:rPr>
              <w:t>；</w:t>
            </w:r>
            <w:r>
              <w:rPr>
                <w:rFonts w:hint="eastAsia"/>
                <w:lang w:val="en-US" w:eastAsia="zh-CN"/>
              </w:rPr>
              <w:t>能耗限额 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办公室   </w:t>
            </w:r>
            <w:r>
              <w:rPr>
                <w:rFonts w:hint="eastAsia"/>
              </w:rPr>
              <w:sym w:font="Wingdings 2" w:char="0052"/>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rPr>
                <w:rFonts w:hint="eastAsia" w:eastAsia="宋体"/>
                <w:lang w:val="en-US" w:eastAsia="zh-CN"/>
              </w:rPr>
            </w:pPr>
            <w:r>
              <w:rPr>
                <w:rFonts w:hint="eastAsia"/>
              </w:rPr>
              <w:t>能源管理者代表是——</w:t>
            </w:r>
            <w:r>
              <w:rPr>
                <w:rFonts w:hint="eastAsia"/>
                <w:lang w:val="en-US" w:eastAsia="zh-CN"/>
              </w:rPr>
              <w:t>刘琦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rPr>
              <w:sym w:font="Wingdings 2" w:char="00A3"/>
            </w:r>
            <w:r>
              <w:rPr>
                <w:rFonts w:hint="eastAsia"/>
              </w:rPr>
              <w:t>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能源评审编号/日期：</w:t>
            </w:r>
            <w:r>
              <w:rPr>
                <w:rFonts w:hint="eastAsia"/>
                <w:lang w:val="en-US" w:eastAsia="zh-CN"/>
              </w:rPr>
              <w:t>2022.10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354"/>
              <w:gridCol w:w="1589"/>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235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589"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231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2021年单位产值综合能耗 5.84 kgce/万元</w:t>
                  </w:r>
                </w:p>
              </w:tc>
              <w:tc>
                <w:tcPr>
                  <w:tcW w:w="2354"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color w:val="auto"/>
                      <w:szCs w:val="24"/>
                      <w:highlight w:val="none"/>
                      <w:lang w:val="en-US" w:eastAsia="zh-CN"/>
                    </w:rPr>
                    <w:t>加强用能管理，对主要耗能设备定期进行能先测试，</w:t>
                  </w:r>
                  <w:r>
                    <w:rPr>
                      <w:rFonts w:hint="eastAsia" w:ascii="宋体" w:hAnsi="宋体"/>
                      <w:color w:val="auto"/>
                      <w:szCs w:val="24"/>
                      <w:highlight w:val="none"/>
                      <w:lang w:val="en-US" w:eastAsia="zh-CN"/>
                    </w:rPr>
                    <w:t>增加产量，提高效率，提高产品合格率</w:t>
                  </w:r>
                </w:p>
              </w:tc>
              <w:tc>
                <w:tcPr>
                  <w:tcW w:w="1589"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生产部/办公室</w:t>
                  </w:r>
                </w:p>
              </w:tc>
              <w:tc>
                <w:tcPr>
                  <w:tcW w:w="2317" w:type="dxa"/>
                  <w:shd w:val="clear" w:color="auto" w:fill="auto"/>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未完成</w:t>
                  </w:r>
                </w:p>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2021实际完成35.99</w:t>
                  </w:r>
                  <w:r>
                    <w:rPr>
                      <w:rFonts w:hint="eastAsia" w:ascii="Times New Roman" w:hAnsi="Times New Roman" w:eastAsia="宋体" w:cs="Times New Roman"/>
                      <w:color w:val="auto"/>
                      <w:szCs w:val="24"/>
                      <w:highlight w:val="none"/>
                      <w:lang w:val="en-US" w:eastAsia="zh-CN"/>
                    </w:rPr>
                    <w:t xml:space="preserve"> kgce/万元</w:t>
                  </w:r>
                  <w:r>
                    <w:rPr>
                      <w:rFonts w:hint="eastAsia" w:ascii="Times New Roman" w:hAnsi="Times New Roman" w:eastAsia="宋体" w:cs="Times New Roma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589" w:type="dxa"/>
                  <w:shd w:val="clear" w:color="auto" w:fill="auto"/>
                  <w:vAlign w:val="center"/>
                </w:tcPr>
                <w:p>
                  <w:pPr>
                    <w:shd w:val="clear" w:color="auto" w:fill="EBF1DE" w:themeFill="accent3" w:themeFillTint="32"/>
                    <w:rPr>
                      <w:rFonts w:ascii="宋体" w:hAnsi="宋体"/>
                    </w:rPr>
                  </w:pPr>
                </w:p>
              </w:tc>
              <w:tc>
                <w:tcPr>
                  <w:tcW w:w="231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2354" w:type="dxa"/>
                  <w:shd w:val="clear" w:color="auto" w:fill="auto"/>
                  <w:vAlign w:val="center"/>
                </w:tcPr>
                <w:p>
                  <w:pPr>
                    <w:shd w:val="clear" w:color="auto" w:fill="EBF1DE" w:themeFill="accent3" w:themeFillTint="32"/>
                    <w:rPr>
                      <w:rFonts w:ascii="宋体" w:hAnsi="宋体"/>
                    </w:rPr>
                  </w:pPr>
                </w:p>
              </w:tc>
              <w:tc>
                <w:tcPr>
                  <w:tcW w:w="1589" w:type="dxa"/>
                  <w:shd w:val="clear" w:color="auto" w:fill="auto"/>
                  <w:vAlign w:val="center"/>
                </w:tcPr>
                <w:p>
                  <w:pPr>
                    <w:shd w:val="clear" w:color="auto" w:fill="EBF1DE" w:themeFill="accent3" w:themeFillTint="32"/>
                    <w:rPr>
                      <w:rFonts w:ascii="宋体" w:hAnsi="宋体"/>
                    </w:rPr>
                  </w:pPr>
                </w:p>
              </w:tc>
              <w:tc>
                <w:tcPr>
                  <w:tcW w:w="231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A3"/>
            </w:r>
            <w:r>
              <w:rPr>
                <w:rFonts w:hint="eastAsia"/>
              </w:rPr>
              <w:t>目标已实现</w:t>
            </w:r>
          </w:p>
          <w:p>
            <w:pPr>
              <w:shd w:val="clear" w:color="auto" w:fill="EBF1DE" w:themeFill="accent3" w:themeFillTint="32"/>
            </w:pPr>
            <w:r>
              <w:rPr>
                <w:rFonts w:hint="eastAsia" w:ascii="Wingdings" w:hAnsi="Wingdings"/>
                <w:lang w:eastAsia="zh-CN"/>
              </w:rPr>
              <w:sym w:font="Wingdings 2" w:char="0052"/>
            </w:r>
            <w:r>
              <w:rPr>
                <w:rFonts w:hint="eastAsia"/>
              </w:rPr>
              <w:t>目标没有实现，组织在内部进行</w:t>
            </w:r>
            <w:r>
              <w:rPr>
                <w:rFonts w:hint="eastAsia"/>
                <w:lang w:val="en-US" w:eastAsia="zh-CN"/>
              </w:rPr>
              <w:t>了</w:t>
            </w:r>
            <w:r>
              <w:rPr>
                <w:rFonts w:hint="eastAsia"/>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占地面积18666.67</w:t>
            </w:r>
            <w:r>
              <w:rPr>
                <w:rFonts w:hint="eastAsia"/>
              </w:rPr>
              <w:t>平方米；</w:t>
            </w:r>
            <w:r>
              <w:rPr>
                <w:rFonts w:hint="eastAsia"/>
                <w:highlight w:val="none"/>
              </w:rPr>
              <w:t>生产车间</w:t>
            </w:r>
            <w:r>
              <w:rPr>
                <w:rFonts w:hint="eastAsia"/>
                <w:highlight w:val="none"/>
                <w:lang w:val="en-US" w:eastAsia="zh-CN"/>
              </w:rPr>
              <w:t>2</w:t>
            </w:r>
            <w:r>
              <w:rPr>
                <w:rFonts w:hint="eastAsia"/>
                <w:highlight w:val="none"/>
              </w:rPr>
              <w:t>个；库房</w:t>
            </w:r>
            <w:r>
              <w:rPr>
                <w:rFonts w:hint="eastAsia"/>
                <w:highlight w:val="none"/>
                <w:lang w:val="en-US" w:eastAsia="zh-CN"/>
              </w:rPr>
              <w:t>1</w:t>
            </w:r>
            <w:r>
              <w:rPr>
                <w:rFonts w:hint="eastAsia"/>
                <w:highlight w:val="none"/>
              </w:rPr>
              <w:t>个</w:t>
            </w:r>
            <w:r>
              <w:rPr>
                <w:rFonts w:hint="eastAsia"/>
              </w:rPr>
              <w:t>；实验室</w:t>
            </w:r>
            <w:r>
              <w:rPr>
                <w:rFonts w:hint="eastAsia"/>
                <w:lang w:val="en-US" w:eastAsia="zh-CN"/>
              </w:rPr>
              <w:t xml:space="preserve"> 无</w:t>
            </w:r>
            <w:r>
              <w:rPr>
                <w:rFonts w:hint="eastAsia"/>
              </w:rPr>
              <w:t>；</w:t>
            </w:r>
          </w:p>
          <w:p>
            <w:pPr>
              <w:shd w:val="clear" w:color="auto" w:fill="EBF1DE" w:themeFill="accent3" w:themeFillTint="32"/>
              <w:rPr>
                <w:u w:val="single"/>
              </w:rPr>
            </w:pPr>
            <w:r>
              <w:rPr>
                <w:rFonts w:hint="eastAsia"/>
              </w:rPr>
              <w:t>主要生产设备有：</w:t>
            </w:r>
            <w:r>
              <w:rPr>
                <w:rFonts w:hint="eastAsia"/>
                <w:u w:val="single"/>
                <w:lang w:val="en-US" w:eastAsia="zh-CN"/>
              </w:rPr>
              <w:t>热压机、</w:t>
            </w:r>
            <w:r>
              <w:rPr>
                <w:rFonts w:hint="eastAsia"/>
                <w:color w:val="000000"/>
                <w:szCs w:val="22"/>
                <w:u w:val="single"/>
              </w:rPr>
              <w:t>裁板机、封边机、排</w:t>
            </w:r>
            <w:r>
              <w:rPr>
                <w:rFonts w:hint="eastAsia"/>
                <w:color w:val="000000"/>
                <w:szCs w:val="22"/>
                <w:u w:val="single"/>
                <w:lang w:val="en-US" w:eastAsia="zh-CN"/>
              </w:rPr>
              <w:t>钻机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000000"/>
                <w:szCs w:val="22"/>
                <w:u w:val="single"/>
              </w:rPr>
              <w:t>裁板机、</w:t>
            </w:r>
            <w:r>
              <w:rPr>
                <w:rFonts w:hint="eastAsia"/>
                <w:color w:val="000000"/>
                <w:szCs w:val="22"/>
                <w:u w:val="single"/>
                <w:lang w:val="en-US" w:eastAsia="zh-CN"/>
              </w:rPr>
              <w:t>空压机、</w:t>
            </w:r>
            <w:r>
              <w:rPr>
                <w:rFonts w:hint="eastAsia"/>
                <w:u w:val="single"/>
                <w:lang w:val="en-US" w:eastAsia="zh-CN"/>
              </w:rPr>
              <w:t>热压机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52"/>
            </w:r>
            <w:r>
              <w:rPr>
                <w:rFonts w:hint="eastAsia"/>
                <w:color w:val="auto"/>
              </w:rPr>
              <w:t>未进行定期校准/检定的有：</w:t>
            </w:r>
            <w:r>
              <w:rPr>
                <w:rFonts w:hint="eastAsia"/>
                <w:color w:val="auto"/>
                <w:lang w:val="en-US" w:eastAsia="zh-CN"/>
              </w:rPr>
              <w:t>电力公司提供的电表、供水公司提供的流量计。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bookmarkStart w:id="35" w:name="_GoBack"/>
            <w:bookmarkEnd w:id="35"/>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金属办公家具（办公桌）</w:t>
            </w:r>
            <w:r>
              <w:rPr>
                <w:rFonts w:hint="eastAsia"/>
                <w:u w:val="single"/>
              </w:rPr>
              <w:t>（</w:t>
            </w:r>
            <w:r>
              <w:rPr>
                <w:rFonts w:hint="eastAsia"/>
              </w:rPr>
              <w:t>举1例）</w:t>
            </w:r>
          </w:p>
          <w:p>
            <w:pPr>
              <w:shd w:val="clear" w:color="auto" w:fill="EBF1DE" w:themeFill="accent3" w:themeFillTint="32"/>
            </w:pPr>
            <w:r>
              <w:rPr>
                <w:rFonts w:hint="eastAsia"/>
              </w:rPr>
              <w:t>对该设计和开发的项目</w:t>
            </w:r>
            <w:r>
              <w:rPr>
                <w:rFonts w:hint="eastAsia"/>
                <w:lang w:val="en-US" w:eastAsia="zh-CN"/>
              </w:rPr>
              <w:t>不需要</w:t>
            </w:r>
            <w:r>
              <w:rPr>
                <w:rFonts w:hint="eastAsia"/>
              </w:rPr>
              <w:t>节能评估。</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A3"/>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加强节电管理,电锅炉及用电设备的管理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eastAsia" w:eastAsia="宋体"/>
                <w:lang w:val="en-US" w:eastAsia="zh-CN"/>
              </w:rPr>
            </w:pPr>
            <w:r>
              <w:rPr>
                <w:rFonts w:hint="eastAsia"/>
              </w:rPr>
              <w:t>对生产和服务提供过程的节能改进措施控制</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企业无主要用能设备，目前未开展能效测试</w:t>
            </w:r>
          </w:p>
          <w:p>
            <w:pPr>
              <w:shd w:val="clear" w:color="auto" w:fill="EBF1DE" w:themeFill="accent3" w:themeFillTint="32"/>
            </w:pPr>
            <w:r>
              <w:rPr>
                <w:rFonts w:hint="eastAsia"/>
              </w:rPr>
              <w:t>达标评价：</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17-18</w:t>
            </w:r>
            <w:r>
              <w:rPr>
                <w:rFonts w:hint="eastAsia"/>
              </w:rPr>
              <w:t>日实施了能源管理体系内部审核，对能源管理体系的符合性和有效性进行了审核。内审发现的</w:t>
            </w:r>
            <w:r>
              <w:rPr>
                <w:rFonts w:hint="eastAsia"/>
                <w:lang w:val="en-US" w:eastAsia="zh-CN"/>
              </w:rPr>
              <w:t>0</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C1C61"/>
    <w:multiLevelType w:val="singleLevel"/>
    <w:tmpl w:val="AB5C1C61"/>
    <w:lvl w:ilvl="0" w:tentative="0">
      <w:start w:val="1"/>
      <w:numFmt w:val="bullet"/>
      <w:pStyle w:val="4"/>
      <w:lvlText w:val=""/>
      <w:lvlJc w:val="left"/>
      <w:pPr>
        <w:tabs>
          <w:tab w:val="left" w:pos="2040"/>
        </w:tabs>
        <w:ind w:left="2040" w:hanging="36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F032F1"/>
    <w:rsid w:val="13456FC5"/>
    <w:rsid w:val="24735A2F"/>
    <w:rsid w:val="60EE0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rPr>
      <w:sz w:val="24"/>
    </w:rPr>
  </w:style>
  <w:style w:type="paragraph" w:styleId="4">
    <w:name w:val="List Bullet 5"/>
    <w:basedOn w:val="1"/>
    <w:semiHidden/>
    <w:unhideWhenUsed/>
    <w:uiPriority w:val="99"/>
    <w:pPr>
      <w:numPr>
        <w:ilvl w:val="0"/>
        <w:numId w:val="1"/>
      </w:numPr>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2022-10-13T04:43:09Z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