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0618-2020-Q-2022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北京东方远创化工有限责任公司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李蒙生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911103041028024183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Q:未认可,E:认可,O:未认可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19001-2016 idt ISO 9001:2015标准 (不适用：  条款)</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E:10,O:10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QJ勾选"/>
            <w:r>
              <w:rPr>
                <w:rFonts w:hint="eastAsia"/>
                <w:sz w:val="22"/>
                <w:szCs w:val="22"/>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北京东方远创化工有限责任公司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E：化工材料，许可范围内危险化学品销售所涉及场所的相关环境管理活动</w:t>
            </w:r>
          </w:p>
          <w:p>
            <w:pPr>
              <w:snapToGrid w:val="0"/>
              <w:spacing w:line="0" w:lineRule="atLeast"/>
              <w:jc w:val="left"/>
              <w:rPr>
                <w:sz w:val="22"/>
                <w:szCs w:val="22"/>
              </w:rPr>
            </w:pPr>
            <w:r>
              <w:rPr>
                <w:sz w:val="22"/>
                <w:szCs w:val="22"/>
              </w:rPr>
              <w:t>O：化工材料，许可范围内危险化学品销售所涉及场所的相关职业健康安全管理活动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北京市房山区燕山岗南路东一巷6号C座C211房间</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北京市房山区燕山迎风四里活动站</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default" w:eastAsia="宋体"/>
                <w:sz w:val="22"/>
                <w:szCs w:val="22"/>
                <w:lang w:val="en-US" w:eastAsia="zh-CN"/>
              </w:rPr>
            </w:pPr>
            <w:r>
              <w:rPr>
                <w:rFonts w:hint="eastAsia"/>
                <w:sz w:val="18"/>
                <w:szCs w:val="18"/>
              </w:rPr>
              <w:t>Beijing Dongfang Yuanchuang Chemical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rPr>
                <w:rFonts w:hint="eastAsia" w:eastAsia="宋体"/>
                <w:sz w:val="15"/>
                <w:szCs w:val="15"/>
                <w:lang w:val="en-US" w:eastAsia="zh-CN"/>
              </w:rPr>
            </w:pPr>
            <w:r>
              <w:rPr>
                <w:rFonts w:hint="eastAsia"/>
                <w:sz w:val="18"/>
                <w:szCs w:val="18"/>
                <w:lang w:val="en-US" w:eastAsia="zh-CN"/>
              </w:rPr>
              <w:t>Chemical materials, sales of hazardous chemicals within the scope of license and relevant environmental management activities of the site</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rPr>
                <w:rFonts w:hint="eastAsia"/>
                <w:sz w:val="18"/>
                <w:szCs w:val="18"/>
              </w:rPr>
            </w:pPr>
            <w:r>
              <w:rPr>
                <w:rFonts w:hint="eastAsia"/>
                <w:sz w:val="18"/>
                <w:szCs w:val="18"/>
              </w:rPr>
              <w:t>Room C211, Block C, No. 6, Dongyi Lane, Yingfenggang South Road, Yanshan District, Beijing</w:t>
            </w:r>
          </w:p>
          <w:p>
            <w:pPr>
              <w:bidi w:val="0"/>
              <w:jc w:val="both"/>
              <w:rPr>
                <w:rFonts w:hint="eastAsia" w:ascii="Times New Roman" w:hAnsi="Times New Roman" w:eastAsia="宋体" w:cs="Times New Roman"/>
                <w:kern w:val="2"/>
                <w:sz w:val="24"/>
                <w:lang w:val="en-US" w:eastAsia="zh-CN" w:bidi="ar-SA"/>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rPr>
                <w:rFonts w:hint="eastAsia" w:eastAsia="宋体"/>
                <w:sz w:val="15"/>
                <w:szCs w:val="15"/>
                <w:lang w:val="en-US" w:eastAsia="zh-CN"/>
              </w:rPr>
            </w:pPr>
            <w:r>
              <w:rPr>
                <w:rFonts w:hint="eastAsia"/>
                <w:sz w:val="18"/>
                <w:szCs w:val="18"/>
              </w:rPr>
              <w:t>Relevant occupational health and safety management activities in the places involved in the sale of chemical materials and hazardous chemicals within the scope of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eastAsia="宋体"/>
                <w:sz w:val="22"/>
                <w:szCs w:val="22"/>
                <w:lang w:eastAsia="zh-CN"/>
              </w:rPr>
            </w:pPr>
            <w:r>
              <w:rPr>
                <w:rFonts w:hint="eastAsia"/>
                <w:sz w:val="18"/>
                <w:szCs w:val="18"/>
                <w:lang w:val="en-US" w:eastAsia="zh-CN"/>
              </w:rPr>
              <w:t>Yanshan Yingfeng Sili Activity Station, Fangshan District, Beijing</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1116330" cy="676910"/>
                  <wp:effectExtent l="0" t="0" r="0" b="0"/>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5"/>
                          <a:stretch>
                            <a:fillRect/>
                          </a:stretch>
                        </pic:blipFill>
                        <pic:spPr>
                          <a:xfrm>
                            <a:off x="0" y="0"/>
                            <a:ext cx="1116330" cy="676910"/>
                          </a:xfrm>
                          <a:prstGeom prst="rect">
                            <a:avLst/>
                          </a:prstGeom>
                        </pic:spPr>
                      </pic:pic>
                    </a:graphicData>
                  </a:graphic>
                </wp:inline>
              </w:drawing>
            </w: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FkMGQyZTMwNWUwNDFlNTU3ZTBhYmJiNmE4MTAwNmIifQ=="/>
  </w:docVars>
  <w:rsids>
    <w:rsidRoot w:val="00000000"/>
    <w:rsid w:val="60B81A31"/>
    <w:rsid w:val="665E3C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548</Words>
  <Characters>864</Characters>
  <Lines>18</Lines>
  <Paragraphs>5</Paragraphs>
  <TotalTime>14</TotalTime>
  <ScaleCrop>false</ScaleCrop>
  <LinksUpToDate>false</LinksUpToDate>
  <CharactersWithSpaces>1000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2022-11-16T01:05:48Z</cp:lastPrinted>
  <dcterms:modified xsi:type="dcterms:W3CDTF">2022-11-16T01:11:47Z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