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四川伊维康自动化设备有限公司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四川伊维康自动化设备有限公司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眉山市彭山区青龙镇上莲村</w:t>
            </w:r>
            <w:bookmarkEnd w:id="6"/>
          </w:p>
        </w:tc>
        <w:tc>
          <w:tcPr>
            <w:tcW w:w="1242" w:type="dxa"/>
            <w:vMerge w:val="restart"/>
            <w:vAlign w:val="center"/>
          </w:tcPr>
          <w:p>
            <w:r>
              <w:rPr>
                <w:rFonts w:hint="eastAsia"/>
              </w:rPr>
              <w:t>邮编</w:t>
            </w:r>
          </w:p>
        </w:tc>
        <w:tc>
          <w:tcPr>
            <w:tcW w:w="1771" w:type="dxa"/>
          </w:tcPr>
          <w:p>
            <w:bookmarkStart w:id="7" w:name="注册邮编"/>
            <w:r>
              <w:t>620860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眉山市彭山区青龙镇上莲村</w:t>
            </w:r>
            <w:bookmarkEnd w:id="8"/>
          </w:p>
        </w:tc>
        <w:tc>
          <w:tcPr>
            <w:tcW w:w="1242" w:type="dxa"/>
            <w:vMerge w:val="continue"/>
            <w:vAlign w:val="center"/>
          </w:tcPr>
          <w:p/>
        </w:tc>
        <w:tc>
          <w:tcPr>
            <w:tcW w:w="1771" w:type="dxa"/>
          </w:tcPr>
          <w:p>
            <w:bookmarkStart w:id="9" w:name="办公邮编"/>
            <w:r>
              <w:t>620860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杨文静</w:t>
            </w:r>
            <w:bookmarkEnd w:id="10"/>
          </w:p>
        </w:tc>
        <w:tc>
          <w:tcPr>
            <w:tcW w:w="1313" w:type="dxa"/>
            <w:vAlign w:val="center"/>
          </w:tcPr>
          <w:p>
            <w:r>
              <w:rPr>
                <w:rFonts w:hint="eastAsia"/>
              </w:rPr>
              <w:t>电话.</w:t>
            </w:r>
          </w:p>
        </w:tc>
        <w:tc>
          <w:tcPr>
            <w:tcW w:w="2180" w:type="dxa"/>
            <w:vAlign w:val="center"/>
          </w:tcPr>
          <w:p>
            <w:pPr>
              <w:rPr>
                <w:rFonts w:hint="eastAsia" w:eastAsia="宋体"/>
                <w:lang w:eastAsia="zh-CN"/>
              </w:rPr>
            </w:pPr>
            <w:bookmarkStart w:id="11" w:name="联系人电话"/>
            <w:r>
              <w:t>1575625782</w:t>
            </w:r>
            <w:bookmarkEnd w:id="11"/>
            <w:r>
              <w:rPr>
                <w:rFonts w:hint="eastAsia"/>
                <w:lang w:val="en-US" w:eastAsia="zh-CN"/>
              </w:rPr>
              <w:t>1</w:t>
            </w:r>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罗勇</w:t>
            </w:r>
            <w:bookmarkEnd w:id="13"/>
          </w:p>
        </w:tc>
        <w:tc>
          <w:tcPr>
            <w:tcW w:w="1313" w:type="dxa"/>
            <w:vAlign w:val="center"/>
          </w:tcPr>
          <w:p>
            <w:r>
              <w:rPr>
                <w:rFonts w:hint="eastAsia"/>
              </w:rPr>
              <w:t>管理者代表</w:t>
            </w:r>
          </w:p>
        </w:tc>
        <w:tc>
          <w:tcPr>
            <w:tcW w:w="2180" w:type="dxa"/>
          </w:tcPr>
          <w:p>
            <w:bookmarkStart w:id="14" w:name="管理者代表"/>
            <w:r>
              <w:t>田建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原材料--下料--焊接--打磨--</w:t>
            </w:r>
            <w:r>
              <w:rPr>
                <w:rFonts w:hint="eastAsia"/>
                <w:lang w:eastAsia="zh-CN"/>
              </w:rPr>
              <w:t>表面处理</w:t>
            </w:r>
            <w:r>
              <w:rPr>
                <w:rFonts w:hint="eastAsia"/>
              </w:rPr>
              <w:t>（外包）--安装--调试--入库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2022年10月26日 上午至2022年10月26日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color w:val="FF0000"/>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工业自动化输送设备的制造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2021年09月24日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09</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lang w:val="de-DE" w:eastAsia="ja-JP"/>
              </w:rPr>
              <w:t>四川伊维康自动化设备有限公司</w:t>
            </w:r>
            <w:r>
              <w:rPr>
                <w:rFonts w:hint="eastAsia"/>
                <w:lang w:val="en-US" w:eastAsia="zh-CN"/>
              </w:rPr>
              <w:t>/</w:t>
            </w:r>
            <w:r>
              <w:rPr>
                <w:rFonts w:asciiTheme="minorEastAsia" w:hAnsiTheme="minorEastAsia" w:eastAsiaTheme="minorEastAsia"/>
                <w:sz w:val="20"/>
              </w:rPr>
              <w:t>眉山市彭山区青龙镇上莲村</w:t>
            </w:r>
          </w:p>
        </w:tc>
        <w:tc>
          <w:tcPr>
            <w:tcW w:w="2267" w:type="dxa"/>
            <w:vAlign w:val="top"/>
          </w:tcPr>
          <w:p>
            <w:pPr>
              <w:rPr>
                <w:lang w:val="de-DE" w:eastAsia="ja-JP"/>
              </w:rPr>
            </w:pPr>
            <w:r>
              <w:rPr>
                <w:rFonts w:asciiTheme="minorEastAsia" w:hAnsiTheme="minorEastAsia" w:eastAsiaTheme="minorEastAsia"/>
                <w:sz w:val="20"/>
              </w:rPr>
              <w:t>眉山市彭山区青龙镇上莲村</w:t>
            </w:r>
          </w:p>
        </w:tc>
        <w:tc>
          <w:tcPr>
            <w:tcW w:w="571" w:type="dxa"/>
            <w:vAlign w:val="center"/>
          </w:tcPr>
          <w:p>
            <w:pPr>
              <w:rPr>
                <w:rFonts w:hint="default"/>
                <w:lang w:val="en-US" w:eastAsia="ja-JP"/>
              </w:rPr>
            </w:pPr>
            <w:r>
              <w:rPr>
                <w:rFonts w:hint="eastAsia"/>
                <w:lang w:val="en-US" w:eastAsia="zh-CN"/>
              </w:rPr>
              <w:t>34</w:t>
            </w:r>
          </w:p>
        </w:tc>
        <w:tc>
          <w:tcPr>
            <w:tcW w:w="2803" w:type="dxa"/>
            <w:vAlign w:val="center"/>
          </w:tcPr>
          <w:p>
            <w:pPr>
              <w:rPr>
                <w:lang w:eastAsia="ja-JP"/>
              </w:rPr>
            </w:pPr>
            <w:r>
              <w:rPr>
                <w:sz w:val="20"/>
              </w:rPr>
              <w:t>工业自动化输送设备的制造</w:t>
            </w:r>
          </w:p>
        </w:tc>
        <w:tc>
          <w:tcPr>
            <w:tcW w:w="669" w:type="dxa"/>
            <w:vAlign w:val="center"/>
          </w:tcPr>
          <w:p>
            <w:pPr>
              <w:rPr>
                <w:lang w:eastAsia="ja-JP"/>
              </w:rPr>
            </w:pPr>
            <w:r>
              <w:rPr>
                <w:rFonts w:hint="eastAsia"/>
                <w:lang w:eastAsia="ja-JP"/>
              </w:rPr>
              <w:t>GB/T19001-2016</w:t>
            </w:r>
          </w:p>
        </w:tc>
        <w:tc>
          <w:tcPr>
            <w:tcW w:w="668" w:type="dxa"/>
            <w:shd w:val="clear" w:color="auto" w:fill="FFFFFF"/>
            <w:vAlign w:val="top"/>
          </w:tcPr>
          <w:p>
            <w:r>
              <w:rPr/>
              <w:sym w:font="Wingdings" w:char="00F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张亚兰</w:t>
            </w:r>
          </w:p>
        </w:tc>
        <w:tc>
          <w:tcPr>
            <w:tcW w:w="1089" w:type="dxa"/>
            <w:vAlign w:val="center"/>
          </w:tcPr>
          <w:p>
            <w:r>
              <w:t>组员</w:t>
            </w:r>
          </w:p>
        </w:tc>
        <w:tc>
          <w:tcPr>
            <w:tcW w:w="711" w:type="dxa"/>
            <w:vAlign w:val="center"/>
          </w:tcPr>
          <w:p>
            <w:r>
              <w:t>女</w:t>
            </w:r>
          </w:p>
        </w:tc>
        <w:tc>
          <w:tcPr>
            <w:tcW w:w="3870" w:type="dxa"/>
            <w:vAlign w:val="center"/>
          </w:tcPr>
          <w:p>
            <w:r>
              <w:t>ISC-JSZJ-588</w:t>
            </w:r>
          </w:p>
          <w:p>
            <w:r>
              <w:t>四川凯德尔科技有限公司</w:t>
            </w:r>
          </w:p>
        </w:tc>
        <w:tc>
          <w:tcPr>
            <w:tcW w:w="2179" w:type="dxa"/>
            <w:vAlign w:val="center"/>
          </w:tcPr>
          <w:p>
            <w:r>
              <w:t>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eastAsia="zh-CN"/>
              </w:rPr>
              <w:t>人数由</w:t>
            </w:r>
            <w:r>
              <w:rPr>
                <w:rFonts w:hint="eastAsia"/>
                <w:lang w:val="en-US" w:eastAsia="zh-CN"/>
              </w:rPr>
              <w:t>20人变更为34人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w:t>
            </w:r>
            <w:r>
              <w:rPr>
                <w:rFonts w:hint="eastAsia"/>
                <w:lang w:val="en-US" w:eastAsia="zh-CN"/>
              </w:rPr>
              <w:t>Q8.5.1，本次无类似情况发生，整改有效。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exact"/>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工业自动化输送设备的制造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216535</wp:posOffset>
                  </wp:positionH>
                  <wp:positionV relativeFrom="paragraph">
                    <wp:posOffset>69850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2022.10.26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color w:val="FF0000"/>
                <w:lang w:eastAsia="zh-CN"/>
              </w:rPr>
              <w:t>☑</w:t>
            </w:r>
            <w:r>
              <w:rPr>
                <w:rFonts w:hint="eastAsia"/>
                <w:color w:val="FF0000"/>
              </w:rPr>
              <w:t>其他</w:t>
            </w:r>
            <w:r>
              <w:rPr>
                <w:rFonts w:hint="eastAsia"/>
                <w:color w:val="FF0000"/>
                <w:lang w:eastAsia="zh-CN"/>
              </w:rPr>
              <w:t>：表面处理</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最高管理者制定了文件化的管理体系方针：质量为本，技术先导，持续改进，顾客满意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3330"/>
              <w:gridCol w:w="114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3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4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48"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vAlign w:val="center"/>
                </w:tcPr>
                <w:p>
                  <w:pPr>
                    <w:widowControl/>
                    <w:spacing w:before="40"/>
                    <w:jc w:val="both"/>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eastAsia="zh-CN"/>
                    </w:rPr>
                    <w:t>产品出厂合格率≥98%</w:t>
                  </w:r>
                </w:p>
              </w:tc>
              <w:tc>
                <w:tcPr>
                  <w:tcW w:w="3330" w:type="dxa"/>
                  <w:shd w:val="clear" w:color="auto" w:fill="auto"/>
                  <w:vAlign w:val="center"/>
                </w:tcPr>
                <w:p>
                  <w:pPr>
                    <w:widowControl/>
                    <w:spacing w:before="40"/>
                    <w:jc w:val="both"/>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eastAsia="zh-CN"/>
                    </w:rPr>
                    <w:t>出厂产品合格数</w:t>
                  </w:r>
                  <w:r>
                    <w:rPr>
                      <w:rFonts w:hint="eastAsia"/>
                      <w:color w:val="000000"/>
                      <w:szCs w:val="18"/>
                      <w:highlight w:val="none"/>
                      <w:lang w:val="en-US" w:eastAsia="zh-CN"/>
                    </w:rPr>
                    <w:t>/出厂产品总*100%</w:t>
                  </w:r>
                </w:p>
              </w:tc>
              <w:tc>
                <w:tcPr>
                  <w:tcW w:w="1140" w:type="dxa"/>
                  <w:shd w:val="clear" w:color="auto" w:fill="auto"/>
                  <w:vAlign w:val="center"/>
                </w:tcPr>
                <w:p>
                  <w:pPr>
                    <w:shd w:val="clear" w:color="auto" w:fill="C7DAF1" w:themeFill="text2" w:themeFillTint="32"/>
                    <w:jc w:val="both"/>
                    <w:rPr>
                      <w:rFonts w:hint="eastAsia" w:eastAsia="宋体"/>
                      <w:highlight w:val="none"/>
                      <w:lang w:val="en-GB" w:eastAsia="zh-CN"/>
                    </w:rPr>
                  </w:pPr>
                  <w:r>
                    <w:rPr>
                      <w:rFonts w:hint="eastAsia"/>
                      <w:highlight w:val="none"/>
                      <w:lang w:val="en-GB" w:eastAsia="zh-CN"/>
                    </w:rPr>
                    <w:t>生产部</w:t>
                  </w:r>
                </w:p>
              </w:tc>
              <w:tc>
                <w:tcPr>
                  <w:tcW w:w="1548" w:type="dxa"/>
                  <w:shd w:val="clear" w:color="auto" w:fill="auto"/>
                  <w:vAlign w:val="center"/>
                </w:tcPr>
                <w:p>
                  <w:pPr>
                    <w:widowControl/>
                    <w:spacing w:before="40"/>
                    <w:jc w:val="both"/>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vAlign w:val="center"/>
                </w:tcPr>
                <w:p>
                  <w:pPr>
                    <w:widowControl/>
                    <w:spacing w:before="40"/>
                    <w:jc w:val="both"/>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eastAsia="zh-CN"/>
                    </w:rPr>
                    <w:t>顾客满意度≥90分</w:t>
                  </w:r>
                </w:p>
              </w:tc>
              <w:tc>
                <w:tcPr>
                  <w:tcW w:w="3330" w:type="dxa"/>
                  <w:shd w:val="clear" w:color="auto" w:fill="auto"/>
                  <w:vAlign w:val="center"/>
                </w:tcPr>
                <w:p>
                  <w:pPr>
                    <w:widowControl/>
                    <w:spacing w:before="40"/>
                    <w:jc w:val="both"/>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eastAsia="zh-CN"/>
                    </w:rPr>
                    <w:t>调查顾客总得分</w:t>
                  </w:r>
                  <w:r>
                    <w:rPr>
                      <w:rFonts w:hint="eastAsia"/>
                      <w:color w:val="000000"/>
                      <w:szCs w:val="18"/>
                      <w:highlight w:val="none"/>
                      <w:lang w:val="en-US" w:eastAsia="zh-CN"/>
                    </w:rPr>
                    <w:t>/调查顾客数量</w:t>
                  </w:r>
                </w:p>
              </w:tc>
              <w:tc>
                <w:tcPr>
                  <w:tcW w:w="1140" w:type="dxa"/>
                  <w:shd w:val="clear" w:color="auto" w:fill="auto"/>
                  <w:vAlign w:val="center"/>
                </w:tcPr>
                <w:p>
                  <w:pPr>
                    <w:shd w:val="clear" w:color="auto" w:fill="C7DAF1" w:themeFill="text2" w:themeFillTint="32"/>
                    <w:jc w:val="both"/>
                    <w:rPr>
                      <w:rFonts w:hint="eastAsia" w:ascii="宋体" w:hAnsi="宋体" w:eastAsia="宋体"/>
                      <w:highlight w:val="none"/>
                      <w:lang w:eastAsia="zh-CN"/>
                    </w:rPr>
                  </w:pPr>
                  <w:r>
                    <w:rPr>
                      <w:rFonts w:hint="eastAsia" w:ascii="宋体" w:hAnsi="宋体"/>
                      <w:highlight w:val="none"/>
                      <w:lang w:eastAsia="zh-CN"/>
                    </w:rPr>
                    <w:t>行政部</w:t>
                  </w:r>
                </w:p>
              </w:tc>
              <w:tc>
                <w:tcPr>
                  <w:tcW w:w="1548" w:type="dxa"/>
                  <w:shd w:val="clear" w:color="auto" w:fill="auto"/>
                  <w:vAlign w:val="center"/>
                </w:tcPr>
                <w:p>
                  <w:pPr>
                    <w:widowControl/>
                    <w:spacing w:before="40"/>
                    <w:jc w:val="both"/>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tcPr>
                <w:p>
                  <w:pPr>
                    <w:shd w:val="clear" w:color="auto" w:fill="C7DAF1" w:themeFill="text2" w:themeFillTint="32"/>
                  </w:pPr>
                </w:p>
              </w:tc>
              <w:tc>
                <w:tcPr>
                  <w:tcW w:w="3330" w:type="dxa"/>
                  <w:shd w:val="clear" w:color="auto" w:fill="auto"/>
                  <w:vAlign w:val="center"/>
                </w:tcPr>
                <w:p>
                  <w:pPr>
                    <w:shd w:val="clear" w:color="auto" w:fill="C7DAF1" w:themeFill="text2" w:themeFillTint="32"/>
                    <w:rPr>
                      <w:rFonts w:ascii="宋体" w:hAnsi="宋体"/>
                    </w:rPr>
                  </w:pPr>
                </w:p>
              </w:tc>
              <w:tc>
                <w:tcPr>
                  <w:tcW w:w="1140" w:type="dxa"/>
                  <w:shd w:val="clear" w:color="auto" w:fill="auto"/>
                  <w:vAlign w:val="center"/>
                </w:tcPr>
                <w:p>
                  <w:pPr>
                    <w:shd w:val="clear" w:color="auto" w:fill="C7DAF1" w:themeFill="text2" w:themeFillTint="32"/>
                    <w:rPr>
                      <w:rFonts w:ascii="宋体" w:hAnsi="宋体"/>
                    </w:rPr>
                  </w:pPr>
                </w:p>
              </w:tc>
              <w:tc>
                <w:tcPr>
                  <w:tcW w:w="1548"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tcPr>
                <w:p>
                  <w:pPr>
                    <w:shd w:val="clear" w:color="auto" w:fill="C7DAF1" w:themeFill="text2" w:themeFillTint="32"/>
                  </w:pPr>
                </w:p>
              </w:tc>
              <w:tc>
                <w:tcPr>
                  <w:tcW w:w="3330" w:type="dxa"/>
                  <w:shd w:val="clear" w:color="auto" w:fill="auto"/>
                  <w:vAlign w:val="center"/>
                </w:tcPr>
                <w:p>
                  <w:pPr>
                    <w:shd w:val="clear" w:color="auto" w:fill="C7DAF1" w:themeFill="text2" w:themeFillTint="32"/>
                    <w:rPr>
                      <w:rFonts w:ascii="宋体" w:hAnsi="宋体"/>
                    </w:rPr>
                  </w:pPr>
                </w:p>
              </w:tc>
              <w:tc>
                <w:tcPr>
                  <w:tcW w:w="1140" w:type="dxa"/>
                  <w:shd w:val="clear" w:color="auto" w:fill="auto"/>
                  <w:vAlign w:val="center"/>
                </w:tcPr>
                <w:p>
                  <w:pPr>
                    <w:shd w:val="clear" w:color="auto" w:fill="C7DAF1" w:themeFill="text2" w:themeFillTint="32"/>
                    <w:rPr>
                      <w:rFonts w:ascii="宋体" w:hAnsi="宋体"/>
                    </w:rPr>
                  </w:pPr>
                </w:p>
              </w:tc>
              <w:tc>
                <w:tcPr>
                  <w:tcW w:w="1548"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shd w:val="clear" w:color="auto" w:fill="auto"/>
                </w:tcPr>
                <w:p>
                  <w:pPr>
                    <w:shd w:val="clear" w:color="auto" w:fill="C7DAF1" w:themeFill="text2" w:themeFillTint="32"/>
                  </w:pPr>
                </w:p>
              </w:tc>
              <w:tc>
                <w:tcPr>
                  <w:tcW w:w="3330" w:type="dxa"/>
                  <w:shd w:val="clear" w:color="auto" w:fill="auto"/>
                  <w:vAlign w:val="center"/>
                </w:tcPr>
                <w:p>
                  <w:pPr>
                    <w:shd w:val="clear" w:color="auto" w:fill="C7DAF1" w:themeFill="text2" w:themeFillTint="32"/>
                    <w:rPr>
                      <w:rFonts w:ascii="宋体" w:hAnsi="宋体"/>
                    </w:rPr>
                  </w:pPr>
                </w:p>
              </w:tc>
              <w:tc>
                <w:tcPr>
                  <w:tcW w:w="1140" w:type="dxa"/>
                  <w:shd w:val="clear" w:color="auto" w:fill="auto"/>
                  <w:vAlign w:val="center"/>
                </w:tcPr>
                <w:p>
                  <w:pPr>
                    <w:shd w:val="clear" w:color="auto" w:fill="C7DAF1" w:themeFill="text2" w:themeFillTint="32"/>
                    <w:rPr>
                      <w:rFonts w:ascii="宋体" w:hAnsi="宋体"/>
                    </w:rPr>
                  </w:pPr>
                </w:p>
              </w:tc>
              <w:tc>
                <w:tcPr>
                  <w:tcW w:w="1548"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6500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highlight w:val="none"/>
                <w:u w:val="single"/>
              </w:rPr>
            </w:pPr>
            <w:r>
              <w:rPr>
                <w:rFonts w:hint="eastAsia"/>
              </w:rPr>
              <w:t>主要生产设备有：</w:t>
            </w:r>
            <w:r>
              <w:rPr>
                <w:rFonts w:hint="eastAsia"/>
                <w:color w:val="000000"/>
                <w:highlight w:val="none"/>
                <w:u w:val="single"/>
                <w:lang w:eastAsia="zh-CN"/>
              </w:rPr>
              <w:t>剪板机、冲床、台转、焊机</w:t>
            </w:r>
            <w:r>
              <w:rPr>
                <w:rFonts w:hint="eastAsia"/>
                <w:color w:val="000000"/>
                <w:highlight w:val="none"/>
                <w:u w:val="single"/>
                <w:lang w:val="en-US" w:eastAsia="zh-CN"/>
              </w:rPr>
              <w:t>、手动叉车</w:t>
            </w:r>
            <w:r>
              <w:rPr>
                <w:rFonts w:hint="eastAsia"/>
                <w:color w:val="000000"/>
                <w:highlight w:val="none"/>
                <w:u w:val="single"/>
                <w:lang w:eastAsia="zh-CN"/>
              </w:rPr>
              <w:t>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C7DAF1" w:themeFill="text2" w:themeFillTint="32"/>
              <w:rPr>
                <w:rFonts w:hint="default" w:eastAsia="宋体"/>
                <w:highlight w:val="none"/>
                <w:u w:val="single"/>
                <w:lang w:val="en-US" w:eastAsia="zh-CN"/>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bookmarkStart w:id="34" w:name="_GoBack"/>
            <w:bookmarkEnd w:id="34"/>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lang w:val="en-US" w:eastAsia="zh-CN"/>
              </w:rPr>
              <w:t xml:space="preserve">                                </w:t>
            </w:r>
            <w:r>
              <w:rPr>
                <w:rFonts w:hint="eastAsia"/>
                <w:color w:val="000000"/>
                <w:highlight w:val="none"/>
                <w:u w:val="single"/>
                <w:lang w:eastAsia="zh-CN"/>
              </w:rPr>
              <w:t>等</w:t>
            </w:r>
          </w:p>
          <w:p>
            <w:pPr>
              <w:shd w:val="clear" w:color="auto" w:fill="C7DAF1" w:themeFill="text2" w:themeFillTint="32"/>
              <w:rPr>
                <w:rFonts w:hint="eastAsia" w:eastAsia="宋体"/>
                <w:u w:val="single"/>
                <w:lang w:eastAsia="zh-CN"/>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color w:val="FF0000"/>
                <w:highlight w:val="none"/>
                <w:lang w:eastAsia="zh-CN"/>
              </w:rPr>
              <w:t>□</w:t>
            </w:r>
            <w:r>
              <w:rPr>
                <w:rFonts w:hint="eastAsia"/>
                <w:color w:val="FF0000"/>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工业自动化输送设备的制造</w:t>
                  </w:r>
                </w:p>
              </w:tc>
              <w:tc>
                <w:tcPr>
                  <w:tcW w:w="3665" w:type="dxa"/>
                </w:tcPr>
                <w:p>
                  <w:pPr>
                    <w:shd w:val="clear" w:color="auto" w:fill="C7DAF1" w:themeFill="text2" w:themeFillTint="32"/>
                    <w:jc w:val="left"/>
                    <w:rPr>
                      <w:rFonts w:hint="eastAsia" w:eastAsia="宋体"/>
                      <w:lang w:eastAsia="zh-CN"/>
                    </w:rPr>
                  </w:pPr>
                  <w:r>
                    <w:rPr>
                      <w:rFonts w:hint="eastAsia"/>
                      <w:lang w:eastAsia="zh-CN"/>
                    </w:rPr>
                    <w:t>焊接过程</w:t>
                  </w:r>
                </w:p>
              </w:tc>
              <w:tc>
                <w:tcPr>
                  <w:tcW w:w="3265" w:type="dxa"/>
                </w:tcPr>
                <w:p>
                  <w:pPr>
                    <w:shd w:val="clear" w:color="auto" w:fill="C7DAF1" w:themeFill="text2" w:themeFillTint="32"/>
                    <w:jc w:val="left"/>
                    <w:rPr>
                      <w:rFonts w:hint="eastAsia" w:eastAsia="宋体"/>
                      <w:lang w:eastAsia="zh-CN"/>
                    </w:rPr>
                  </w:pPr>
                  <w:r>
                    <w:rPr>
                      <w:rFonts w:hint="eastAsia"/>
                      <w:lang w:eastAsia="zh-CN"/>
                    </w:rPr>
                    <w:t>温度、压力等</w:t>
                  </w: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lang w:eastAsia="zh-CN"/>
              </w:rPr>
              <w:t>焊接过程</w:t>
            </w:r>
            <w:r>
              <w:rPr>
                <w:rFonts w:hint="eastAsia"/>
                <w:highlight w:val="none"/>
              </w:rPr>
              <w:t>，</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进行了有效的确认</w:t>
            </w:r>
            <w:r>
              <w:rPr>
                <w:rFonts w:hint="eastAsia" w:ascii="Wingdings" w:hAnsi="Wingdings"/>
                <w:highlight w:val="none"/>
                <w:lang w:eastAsia="zh-CN"/>
              </w:rPr>
              <w:t>□</w:t>
            </w:r>
            <w:r>
              <w:rPr>
                <w:rFonts w:hint="eastAsia"/>
                <w:highlight w:val="none"/>
              </w:rPr>
              <w:t>存在不足，说明。</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通过年度策划于2022年7月15日实施了质量管理体系内部审核，对质量管理体系的符合性和有效性进行了审核。内审发现</w:t>
            </w:r>
            <w:r>
              <w:rPr>
                <w:rFonts w:hint="eastAsia"/>
                <w:highlight w:val="none"/>
              </w:rPr>
              <w:t>的</w:t>
            </w:r>
            <w:r>
              <w:rPr>
                <w:rFonts w:hint="eastAsia"/>
                <w:highlight w:val="none"/>
                <w:lang w:val="en-US" w:eastAsia="zh-CN"/>
              </w:rPr>
              <w:t>1</w:t>
            </w:r>
            <w:r>
              <w:rPr>
                <w:rFonts w:hint="eastAsia"/>
                <w:highlight w:val="none"/>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最高管理者已按策划的时间间隔，在2022年7月28日对组织的质量管理体系进行了评审，以确保其持续的适宜性、充分性和有效性；管理评审输入、输出均按要求提供。并对提出的改进措施进行了落实。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1BD17FD"/>
    <w:rsid w:val="04AE6573"/>
    <w:rsid w:val="0AC51722"/>
    <w:rsid w:val="0AD16319"/>
    <w:rsid w:val="0D29243C"/>
    <w:rsid w:val="0DF41725"/>
    <w:rsid w:val="1001144E"/>
    <w:rsid w:val="109A0F5B"/>
    <w:rsid w:val="11D32976"/>
    <w:rsid w:val="13201BEB"/>
    <w:rsid w:val="13677E40"/>
    <w:rsid w:val="14D7277E"/>
    <w:rsid w:val="14EB1C26"/>
    <w:rsid w:val="172F6697"/>
    <w:rsid w:val="18A4506D"/>
    <w:rsid w:val="1954439D"/>
    <w:rsid w:val="1C7B4336"/>
    <w:rsid w:val="1D9A07EC"/>
    <w:rsid w:val="2110133D"/>
    <w:rsid w:val="218D2B42"/>
    <w:rsid w:val="22C205C9"/>
    <w:rsid w:val="29115E06"/>
    <w:rsid w:val="2A2E4796"/>
    <w:rsid w:val="2B691647"/>
    <w:rsid w:val="2F611A30"/>
    <w:rsid w:val="31F504BE"/>
    <w:rsid w:val="346534AA"/>
    <w:rsid w:val="354B17CC"/>
    <w:rsid w:val="3615084C"/>
    <w:rsid w:val="3CCA2A44"/>
    <w:rsid w:val="40580367"/>
    <w:rsid w:val="409E221E"/>
    <w:rsid w:val="417967E7"/>
    <w:rsid w:val="43C024AB"/>
    <w:rsid w:val="46FC7C9E"/>
    <w:rsid w:val="478665E8"/>
    <w:rsid w:val="4C6111C2"/>
    <w:rsid w:val="506F7507"/>
    <w:rsid w:val="52E837CD"/>
    <w:rsid w:val="557F21C6"/>
    <w:rsid w:val="56AD4B11"/>
    <w:rsid w:val="580C7901"/>
    <w:rsid w:val="5895585D"/>
    <w:rsid w:val="5A7D2A4C"/>
    <w:rsid w:val="5B4F43E9"/>
    <w:rsid w:val="5BE80399"/>
    <w:rsid w:val="5CEA4DC6"/>
    <w:rsid w:val="5D8D11F8"/>
    <w:rsid w:val="5D992D2E"/>
    <w:rsid w:val="60AE3960"/>
    <w:rsid w:val="60B371C8"/>
    <w:rsid w:val="625B7B17"/>
    <w:rsid w:val="64C33752"/>
    <w:rsid w:val="64D836A1"/>
    <w:rsid w:val="6618187B"/>
    <w:rsid w:val="68525518"/>
    <w:rsid w:val="685847A6"/>
    <w:rsid w:val="69BC7013"/>
    <w:rsid w:val="6D013069"/>
    <w:rsid w:val="6D886E76"/>
    <w:rsid w:val="6F0357BE"/>
    <w:rsid w:val="73F6144E"/>
    <w:rsid w:val="758962F1"/>
    <w:rsid w:val="7ABC4246"/>
    <w:rsid w:val="7AD87AFF"/>
    <w:rsid w:val="7C1B74AF"/>
    <w:rsid w:val="7E4F0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8</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2022-10-31T03:16:12Z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