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0662-2022-EO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洛阳吉城商贸有限公司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eastAsia" w:eastAsia="宋体"/>
                <w:szCs w:val="21"/>
                <w:lang w:eastAsia="zh-CN"/>
              </w:rPr>
            </w:pPr>
            <w:bookmarkStart w:id="8" w:name="审核日期"/>
            <w:r>
              <w:rPr>
                <w:rFonts w:hint="eastAsia" w:ascii="宋体"/>
                <w:b/>
                <w:color w:val="000000"/>
                <w:szCs w:val="21"/>
              </w:rPr>
              <w:t xml:space="preserve">2022年10月13日 上午至2022年10月13日 </w:t>
            </w:r>
            <w:bookmarkEnd w:id="8"/>
            <w:r>
              <w:rPr>
                <w:rFonts w:hint="eastAsia" w:ascii="宋体"/>
                <w:b/>
                <w:color w:val="000000"/>
                <w:szCs w:val="21"/>
                <w:lang w:val="en-US"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洛阳市孟津区吉利区文化路六号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明利红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2021-N1EMS-3093634</w:t>
            </w:r>
          </w:p>
          <w:p>
            <w:pPr>
              <w:spacing w:line="240" w:lineRule="exact"/>
              <w:jc w:val="center"/>
              <w:rPr>
                <w:b/>
                <w:color w:val="000000"/>
                <w:szCs w:val="21"/>
              </w:rPr>
            </w:pPr>
            <w:r>
              <w:rPr>
                <w:b/>
                <w:color w:val="000000"/>
                <w:szCs w:val="21"/>
              </w:rPr>
              <w:t>2022-N1OHSMS-3093634</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洛阳吉城商贸有限公司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洛阳市西工区王城大道221号4幢1-2503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洛阳市孟津区吉利区文化路六号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471012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13525939456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胡南堂</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张钱</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rPr>
                <w:sz w:val="20"/>
              </w:rPr>
            </w:pPr>
            <w:bookmarkStart w:id="35" w:name="审核范围"/>
            <w:r>
              <w:rPr>
                <w:sz w:val="20"/>
              </w:rPr>
              <w:t>E：电器设备、仪器仪表、机械设备及 配件、电线电缆、水暖阀门、金属 材料（不含贵金属）、五金工具、 土杂产品、轴承、建筑材料、计算机及配件、办公用品、针纺织品、 化工产品（不含易燃易爆易制毒危险化学品）、装饰材料、通讯设备、包装材料、日用百货、工艺礼 品（不含文物）的销售所涉及场所相关的环境管理活动</w:t>
            </w:r>
          </w:p>
          <w:p>
            <w:pPr>
              <w:tabs>
                <w:tab w:val="left" w:pos="360"/>
              </w:tabs>
              <w:ind w:left="360" w:hanging="360"/>
              <w:rPr>
                <w:rFonts w:hint="eastAsia" w:ascii="宋体" w:hAnsi="宋体"/>
                <w:b/>
                <w:color w:val="000000"/>
                <w:szCs w:val="21"/>
              </w:rPr>
            </w:pPr>
            <w:r>
              <w:rPr>
                <w:sz w:val="20"/>
              </w:rPr>
              <w:t>O：电器设备、仪器仪表、机械设备及 配件、电线电缆、水暖阀门、金属 材料（不含贵金属）、五金工具、 土杂产品、轴承、建筑材料、计算 机及配件、办公用品、针纺织品、 化工产品（不含易燃易爆易制毒危 险化学品）、装饰材料、通讯设 备、包装材料、日用百货、工艺礼 品（不含文物）的销售所涉及场所相关的职业健康安全管理活动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6"/>
              <w:spacing w:line="240" w:lineRule="auto"/>
              <w:rPr>
                <w:rFonts w:hint="eastAsia" w:ascii="Times New Roman" w:hAnsi="Times New Roman"/>
                <w:sz w:val="21"/>
                <w:szCs w:val="21"/>
                <w:lang w:val="en-US" w:eastAsia="zh-CN"/>
              </w:rPr>
            </w:pPr>
            <w:r>
              <w:rPr>
                <w:rFonts w:hint="eastAsia" w:ascii="Times New Roman" w:hAnsi="Times New Roman"/>
                <w:sz w:val="21"/>
                <w:szCs w:val="21"/>
                <w:lang w:val="en-US" w:eastAsia="zh-CN"/>
              </w:rPr>
              <w:t>业务洽谈-合同接收-合同评审-采购-验证-入库-交付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0"/>
              </w:rPr>
              <w:t>电器设备、仪器仪表、机械设备及 配件、电线电缆、水暖阀门、金属 材料（不含贵金属）、五金工具、 土杂产品、轴承、建筑材料、计算机及配件、办公用品、针纺织品、 化工产品（不含易燃易爆易制毒危险化学品）、装饰材料、通讯设备、包装材料、日用百货、工艺礼 品（不含文物）的销售所涉及场所相关的环境管理活动</w:t>
            </w:r>
          </w:p>
        </w:tc>
        <w:tc>
          <w:tcPr>
            <w:tcW w:w="2006" w:type="dxa"/>
            <w:gridSpan w:val="3"/>
            <w:vAlign w:val="center"/>
          </w:tcPr>
          <w:p>
            <w:pPr>
              <w:jc w:val="left"/>
              <w:rPr>
                <w:sz w:val="20"/>
              </w:rPr>
            </w:pPr>
            <w:r>
              <w:rPr>
                <w:sz w:val="20"/>
              </w:rPr>
              <w:t>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电器设备、仪器仪表、机械设备及 配件、电线电缆、水暖阀门、金属 材料（不含贵金属）、五金工具、 土杂产品、轴承、建筑材料、计算 机及配件、办公用品、针纺织品、 化工产品（不含易燃易爆易制毒危 险化学品）、装饰材料、通讯设 备、包装材料、日用百货、工艺礼 品（不含文物）的销售所涉及场所相关的职业健康安全管理活动</w:t>
            </w:r>
          </w:p>
        </w:tc>
        <w:tc>
          <w:tcPr>
            <w:tcW w:w="2006" w:type="dxa"/>
            <w:gridSpan w:val="3"/>
            <w:vAlign w:val="center"/>
          </w:tcPr>
          <w:p>
            <w:pPr>
              <w:jc w:val="left"/>
              <w:rPr>
                <w:sz w:val="20"/>
              </w:rPr>
            </w:pPr>
            <w:r>
              <w:rPr>
                <w:sz w:val="20"/>
              </w:rPr>
              <w:t>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洛阳吉城商贸有限公司</w:t>
            </w:r>
            <w:r>
              <w:rPr>
                <w:rFonts w:hint="eastAsia"/>
                <w:sz w:val="21"/>
                <w:szCs w:val="21"/>
                <w:lang w:eastAsia="zh-CN"/>
              </w:rPr>
              <w:t>；</w:t>
            </w:r>
            <w:r>
              <w:rPr>
                <w:rFonts w:asciiTheme="minorEastAsia" w:hAnsiTheme="minorEastAsia" w:eastAsiaTheme="minorEastAsia"/>
                <w:sz w:val="20"/>
              </w:rPr>
              <w:t>洛阳市西工区王城大道221号4幢1-2503</w:t>
            </w:r>
            <w:r>
              <w:rPr>
                <w:rFonts w:hint="eastAsia" w:asciiTheme="minorEastAsia" w:hAnsiTheme="minorEastAsia" w:eastAsiaTheme="minorEastAsia"/>
                <w:sz w:val="20"/>
                <w:lang w:eastAsia="zh-CN"/>
              </w:rPr>
              <w:t>；</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洛阳市孟津区吉利区文化路六号</w:t>
            </w:r>
            <w:r>
              <w:rPr>
                <w:rFonts w:hint="eastAsia" w:asciiTheme="minorEastAsia" w:hAnsiTheme="minorEastAsia" w:eastAsiaTheme="minorEastAsia"/>
                <w:sz w:val="20"/>
                <w:lang w:eastAsia="zh-CN"/>
              </w:rPr>
              <w:t>；</w:t>
            </w:r>
          </w:p>
        </w:tc>
        <w:tc>
          <w:tcPr>
            <w:tcW w:w="571" w:type="dxa"/>
            <w:vAlign w:val="center"/>
          </w:tcPr>
          <w:p>
            <w:pPr>
              <w:spacing w:before="40" w:after="40"/>
              <w:rPr>
                <w:rFonts w:eastAsia="黑体"/>
                <w:szCs w:val="21"/>
                <w:lang w:eastAsia="ja-JP"/>
              </w:rPr>
            </w:pPr>
            <w:r>
              <w:rPr>
                <w:rFonts w:hint="eastAsia"/>
                <w:lang w:val="en-US" w:eastAsia="zh-CN"/>
              </w:rPr>
              <w:t>16</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E：电器设备、仪器仪表、机械设备及 配件、电线电缆、水暖阀门、金属 材料（不含贵金属）、五金工具、 土杂产品、轴承、建筑材料、计算机及配件、办公用品、针纺织品、 化工产品（不含易燃易爆易制毒危险化学品）、装饰材料、通讯设备、包装材料、日用百货、工艺礼 品（不含文物）的销售所涉及场所相关的环境管理活动</w:t>
            </w:r>
          </w:p>
          <w:p>
            <w:pPr>
              <w:pStyle w:val="20"/>
              <w:rPr>
                <w:rFonts w:eastAsia="黑体" w:cs="Arial"/>
                <w:sz w:val="21"/>
                <w:szCs w:val="21"/>
                <w:lang w:val="en-US" w:eastAsia="ja-JP"/>
              </w:rPr>
            </w:pPr>
            <w:r>
              <w:rPr>
                <w:rFonts w:hint="eastAsia" w:ascii="宋体" w:hAnsi="宋体" w:cs="宋体"/>
                <w:color w:val="000000"/>
                <w:kern w:val="0"/>
                <w:szCs w:val="21"/>
              </w:rPr>
              <w:t>O：电器设备、仪器仪表、机械设备及 配件、电线电缆、水暖阀门、金属 材料（不含贵金属）、五金工具、 土杂产品、轴承、建筑材料、计算 机及配件、办公用品、针纺织品、 化工产品（不含易燃易爆易制毒危 险化学品）、装饰材料、通讯设 备、包装材料、日用百货、工艺礼 品（不含文物）的销售所涉及场所相关的职业健康安全管理活动</w:t>
            </w:r>
          </w:p>
        </w:tc>
        <w:tc>
          <w:tcPr>
            <w:tcW w:w="669" w:type="dxa"/>
            <w:vAlign w:val="center"/>
          </w:tcPr>
          <w:p>
            <w:pPr>
              <w:rPr>
                <w:rFonts w:eastAsia="黑体"/>
                <w:szCs w:val="21"/>
                <w:lang w:eastAsia="ja-JP"/>
              </w:rPr>
            </w:pPr>
            <w:r>
              <w:rPr>
                <w:rFonts w:ascii="宋体" w:hAnsi="宋体" w:cs="宋体"/>
                <w:color w:val="000000"/>
                <w:kern w:val="0"/>
                <w:szCs w:val="21"/>
              </w:rPr>
              <w:t>E：GB/T 24001-2016/ISO14001:2015,O：GB/T45001-2020 / ISO45001：2018</w:t>
            </w:r>
          </w:p>
        </w:tc>
        <w:tc>
          <w:tcPr>
            <w:tcW w:w="668" w:type="dxa"/>
            <w:shd w:val="clear" w:color="auto" w:fill="FFFFFF"/>
            <w:vAlign w:val="top"/>
          </w:tcPr>
          <w:p>
            <w:pPr>
              <w:rPr>
                <w:rFonts w:eastAsia="黑体"/>
                <w:szCs w:val="21"/>
              </w:rPr>
            </w:pPr>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2022-10-1</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1" locked="0" layoutInCell="1" allowOverlap="1">
            <wp:simplePos x="0" y="0"/>
            <wp:positionH relativeFrom="column">
              <wp:posOffset>1805940</wp:posOffset>
            </wp:positionH>
            <wp:positionV relativeFrom="paragraph">
              <wp:posOffset>-76200</wp:posOffset>
            </wp:positionV>
            <wp:extent cx="524510" cy="275590"/>
            <wp:effectExtent l="0" t="0" r="8890" b="3810"/>
            <wp:wrapTight wrapText="bothSides">
              <wp:wrapPolygon>
                <wp:start x="0" y="0"/>
                <wp:lineTo x="0" y="20903"/>
                <wp:lineTo x="20920" y="20903"/>
                <wp:lineTo x="20920" y="0"/>
                <wp:lineTo x="0" y="0"/>
              </wp:wrapPolygon>
            </wp:wrapTight>
            <wp:docPr id="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9527f178761179e49e527589a9ef90"/>
                    <pic:cNvPicPr>
                      <a:picLocks noChangeAspect="1"/>
                    </pic:cNvPicPr>
                  </pic:nvPicPr>
                  <pic:blipFill>
                    <a:blip r:embed="rId6">
                      <a:biLevel thresh="50000"/>
                      <a:grayscl/>
                    </a:blip>
                    <a:stretch>
                      <a:fillRect/>
                    </a:stretch>
                  </pic:blipFill>
                  <pic:spPr>
                    <a:xfrm>
                      <a:off x="0" y="0"/>
                      <a:ext cx="524510" cy="275590"/>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75335" cy="203835"/>
            <wp:effectExtent l="0" t="0" r="12065" b="12065"/>
            <wp:docPr id="3" name="图片 2" descr="0afeea6ea7159e0b061736a707247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afeea6ea7159e0b061736a707247c9"/>
                    <pic:cNvPicPr>
                      <a:picLocks noChangeAspect="1"/>
                    </pic:cNvPicPr>
                  </pic:nvPicPr>
                  <pic:blipFill>
                    <a:blip r:embed="rId7"/>
                    <a:stretch>
                      <a:fillRect/>
                    </a:stretch>
                  </pic:blipFill>
                  <pic:spPr>
                    <a:xfrm>
                      <a:off x="0" y="0"/>
                      <a:ext cx="775335" cy="20383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2022.10.13.</w:t>
      </w:r>
      <w:bookmarkStart w:id="37" w:name="_GoBack"/>
      <w:bookmarkEnd w:id="37"/>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NmYzZkNjY3OTU4NDczNmE2MzQyY2ZjMDNmYTJmNDMifQ=="/>
  </w:docVars>
  <w:rsids>
    <w:rsidRoot w:val="00000000"/>
    <w:rsid w:val="58E47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left"/>
    </w:pPr>
    <w:rPr>
      <w:rFonts w:ascii="Times New Roman" w:hAnsi="Times New Roman" w:eastAsia="宋体"/>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7561</Words>
  <Characters>8282</Characters>
  <Lines>67</Lines>
  <Paragraphs>18</Paragraphs>
  <TotalTime>0</TotalTime>
  <ScaleCrop>false</ScaleCrop>
  <LinksUpToDate>false</LinksUpToDate>
  <CharactersWithSpaces>8347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2022-10-15T16:04:22Z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2052-11.1.0.12132</vt:lpwstr>
  </property>
</Properties>
</file>