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1093-2022-QEO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60"/>
        <w:gridCol w:w="72"/>
        <w:gridCol w:w="736"/>
        <w:gridCol w:w="872"/>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河北长城新媒体科技有限公司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91130108084978355M</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r>
              <w:rPr>
                <w:rFonts w:hint="eastAsia"/>
                <w:sz w:val="22"/>
                <w:szCs w:val="2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Q:24,E:24,O:24</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432" w:type="dxa"/>
            <w:gridSpan w:val="2"/>
          </w:tcPr>
          <w:p>
            <w:pPr>
              <w:snapToGrid w:val="0"/>
              <w:spacing w:line="0" w:lineRule="atLeast"/>
              <w:jc w:val="left"/>
              <w:rPr>
                <w:sz w:val="22"/>
                <w:szCs w:val="22"/>
              </w:rPr>
            </w:pPr>
            <w:r>
              <w:rPr>
                <w:rFonts w:hint="eastAsia"/>
                <w:sz w:val="22"/>
                <w:szCs w:val="22"/>
                <w:lang w:val="en-GB"/>
              </w:rPr>
              <w:t>中文公司名称及地址</w:t>
            </w:r>
          </w:p>
        </w:tc>
        <w:tc>
          <w:tcPr>
            <w:tcW w:w="4954"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432" w:type="dxa"/>
            <w:gridSpan w:val="2"/>
          </w:tcPr>
          <w:p>
            <w:pPr>
              <w:snapToGrid w:val="0"/>
              <w:spacing w:line="0" w:lineRule="atLeast"/>
              <w:jc w:val="left"/>
              <w:rPr>
                <w:sz w:val="22"/>
                <w:szCs w:val="22"/>
                <w:lang w:val="en-GB"/>
              </w:rPr>
            </w:pPr>
            <w:bookmarkStart w:id="13" w:name="组织名称Add1"/>
            <w:r>
              <w:rPr>
                <w:rFonts w:hint="eastAsia"/>
                <w:sz w:val="22"/>
                <w:szCs w:val="22"/>
              </w:rPr>
              <w:t>河北长城新媒体科技有限公司</w:t>
            </w:r>
            <w:bookmarkEnd w:id="13"/>
          </w:p>
        </w:tc>
        <w:tc>
          <w:tcPr>
            <w:tcW w:w="4954" w:type="dxa"/>
            <w:gridSpan w:val="4"/>
            <w:vMerge w:val="restart"/>
          </w:tcPr>
          <w:p>
            <w:pPr>
              <w:snapToGrid w:val="0"/>
              <w:spacing w:line="0" w:lineRule="atLeast"/>
              <w:jc w:val="left"/>
              <w:rPr>
                <w:sz w:val="22"/>
                <w:szCs w:val="22"/>
              </w:rPr>
            </w:pPr>
            <w:bookmarkStart w:id="14" w:name="审核范围"/>
            <w:r>
              <w:rPr>
                <w:sz w:val="22"/>
                <w:szCs w:val="22"/>
              </w:rPr>
              <w:t>Q：计算机软硬件技术咨询、技术服务、软件开发，计算机系统集成</w:t>
            </w:r>
          </w:p>
          <w:p>
            <w:pPr>
              <w:snapToGrid w:val="0"/>
              <w:spacing w:line="0" w:lineRule="atLeast"/>
              <w:jc w:val="left"/>
              <w:rPr>
                <w:sz w:val="22"/>
                <w:szCs w:val="22"/>
              </w:rPr>
            </w:pPr>
            <w:r>
              <w:rPr>
                <w:sz w:val="22"/>
                <w:szCs w:val="22"/>
              </w:rPr>
              <w:t>E：计算机软硬件技术咨询、技术服务、软件开发，计算机系统集成所涉及场所的相关环境管理活动</w:t>
            </w:r>
          </w:p>
          <w:p>
            <w:pPr>
              <w:snapToGrid w:val="0"/>
              <w:spacing w:line="0" w:lineRule="atLeast"/>
              <w:jc w:val="left"/>
              <w:rPr>
                <w:sz w:val="22"/>
                <w:szCs w:val="22"/>
              </w:rPr>
            </w:pPr>
            <w:r>
              <w:rPr>
                <w:sz w:val="22"/>
                <w:szCs w:val="22"/>
              </w:rPr>
              <w:t>O：计算机软硬件技术咨询、技术服务、软件开发，计算机系统集成所涉及场所的相关职业健康安全管理活动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432" w:type="dxa"/>
            <w:gridSpan w:val="2"/>
          </w:tcPr>
          <w:p>
            <w:pPr>
              <w:snapToGrid w:val="0"/>
              <w:spacing w:line="0" w:lineRule="atLeast"/>
              <w:jc w:val="left"/>
              <w:rPr>
                <w:sz w:val="22"/>
                <w:szCs w:val="22"/>
              </w:rPr>
            </w:pPr>
            <w:bookmarkStart w:id="15" w:name="注册地址"/>
            <w:r>
              <w:rPr>
                <w:rFonts w:hint="eastAsia"/>
                <w:sz w:val="22"/>
                <w:szCs w:val="22"/>
                <w:lang w:val="en-GB"/>
              </w:rPr>
              <w:t>河北省石家庄市新华区西三庄大街86号河北互联网大厦A座1706室</w:t>
            </w:r>
            <w:bookmarkEnd w:id="15"/>
          </w:p>
        </w:tc>
        <w:tc>
          <w:tcPr>
            <w:tcW w:w="4954"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432" w:type="dxa"/>
            <w:gridSpan w:val="2"/>
          </w:tcPr>
          <w:p>
            <w:pPr>
              <w:snapToGrid w:val="0"/>
              <w:spacing w:line="0" w:lineRule="atLeast"/>
              <w:jc w:val="left"/>
              <w:rPr>
                <w:sz w:val="22"/>
                <w:szCs w:val="22"/>
              </w:rPr>
            </w:pPr>
            <w:bookmarkStart w:id="16" w:name="办公地址"/>
            <w:r>
              <w:rPr>
                <w:rFonts w:hint="eastAsia"/>
                <w:sz w:val="22"/>
                <w:szCs w:val="22"/>
                <w:lang w:val="en-GB"/>
              </w:rPr>
              <w:t>石家庄市裕华西路186号</w:t>
            </w:r>
            <w:bookmarkEnd w:id="16"/>
          </w:p>
        </w:tc>
        <w:tc>
          <w:tcPr>
            <w:tcW w:w="4954"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432" w:type="dxa"/>
            <w:gridSpan w:val="2"/>
          </w:tcPr>
          <w:p>
            <w:pPr>
              <w:snapToGrid w:val="0"/>
              <w:spacing w:line="0" w:lineRule="atLeast"/>
              <w:jc w:val="left"/>
              <w:rPr>
                <w:sz w:val="22"/>
                <w:szCs w:val="22"/>
              </w:rPr>
            </w:pPr>
            <w:r>
              <w:rPr>
                <w:rFonts w:hint="eastAsia"/>
                <w:sz w:val="22"/>
                <w:szCs w:val="22"/>
                <w:lang w:val="en-GB"/>
              </w:rPr>
              <w:t xml:space="preserve">英文公司名称及地址                                                      </w:t>
            </w:r>
          </w:p>
        </w:tc>
        <w:tc>
          <w:tcPr>
            <w:tcW w:w="4954" w:type="dxa"/>
            <w:gridSpan w:val="4"/>
          </w:tcPr>
          <w:p>
            <w:pPr>
              <w:snapToGrid w:val="0"/>
              <w:spacing w:line="0" w:lineRule="atLeast"/>
              <w:jc w:val="left"/>
              <w:rPr>
                <w:sz w:val="22"/>
                <w:szCs w:val="22"/>
              </w:rPr>
            </w:pPr>
            <w:r>
              <w:rPr>
                <w:rFonts w:hint="eastAsia"/>
                <w:sz w:val="22"/>
                <w:szCs w:val="22"/>
                <w:lang w:val="en-GB"/>
              </w:rPr>
              <w:t xml:space="preserve">英文认证范围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432" w:type="dxa"/>
            <w:gridSpan w:val="2"/>
          </w:tcPr>
          <w:p>
            <w:pPr>
              <w:snapToGrid w:val="0"/>
              <w:spacing w:line="0" w:lineRule="atLeast"/>
              <w:jc w:val="left"/>
              <w:rPr>
                <w:sz w:val="22"/>
                <w:szCs w:val="22"/>
              </w:rPr>
            </w:pPr>
            <w:r>
              <w:rPr>
                <w:rFonts w:hint="eastAsia" w:ascii="Tahoma" w:hAnsi="Tahoma" w:cs="Tahoma"/>
                <w:color w:val="000000"/>
                <w:sz w:val="24"/>
                <w:lang w:val="en-US" w:eastAsia="zh-CN"/>
              </w:rPr>
              <w:t>Hebei Changcheng New Media-Tech Co.,Ltd.</w:t>
            </w:r>
          </w:p>
        </w:tc>
        <w:tc>
          <w:tcPr>
            <w:tcW w:w="736" w:type="dxa"/>
          </w:tcPr>
          <w:p>
            <w:pPr>
              <w:snapToGrid w:val="0"/>
              <w:spacing w:line="0" w:lineRule="atLeast"/>
              <w:jc w:val="left"/>
              <w:rPr>
                <w:sz w:val="22"/>
                <w:szCs w:val="22"/>
              </w:rPr>
            </w:pPr>
            <w:r>
              <w:rPr>
                <w:rFonts w:hint="eastAsia"/>
                <w:sz w:val="22"/>
                <w:szCs w:val="22"/>
              </w:rPr>
              <w:t>QMS</w:t>
            </w:r>
          </w:p>
        </w:tc>
        <w:tc>
          <w:tcPr>
            <w:tcW w:w="4218" w:type="dxa"/>
            <w:gridSpan w:val="3"/>
          </w:tcPr>
          <w:p>
            <w:pPr>
              <w:snapToGrid w:val="0"/>
              <w:spacing w:line="0" w:lineRule="atLeast"/>
              <w:jc w:val="left"/>
              <w:rPr>
                <w:sz w:val="21"/>
                <w:szCs w:val="16"/>
              </w:rPr>
            </w:pPr>
            <w:r>
              <w:rPr>
                <w:rFonts w:hint="eastAsia"/>
                <w:sz w:val="21"/>
                <w:szCs w:val="16"/>
              </w:rPr>
              <w:t>Computer software and hardware technology consulting, technical services, software development, computer system integration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432" w:type="dxa"/>
            <w:gridSpan w:val="2"/>
          </w:tcPr>
          <w:p>
            <w:pPr>
              <w:snapToGrid w:val="0"/>
              <w:spacing w:line="0" w:lineRule="atLeast"/>
              <w:jc w:val="left"/>
              <w:rPr>
                <w:sz w:val="22"/>
                <w:szCs w:val="22"/>
              </w:rPr>
            </w:pPr>
            <w:r>
              <w:rPr>
                <w:rFonts w:hint="eastAsia" w:ascii="Tahoma" w:hAnsi="Tahoma" w:cs="Tahoma"/>
                <w:color w:val="000000"/>
                <w:sz w:val="24"/>
              </w:rPr>
              <w:t>Room 1706, Block A, Hebei Internet Building, No. 86, Xisanzhuang Street, Xinhua District, Shijiazhuang, Hebei</w:t>
            </w:r>
          </w:p>
        </w:tc>
        <w:tc>
          <w:tcPr>
            <w:tcW w:w="736" w:type="dxa"/>
          </w:tcPr>
          <w:p>
            <w:pPr>
              <w:snapToGrid w:val="0"/>
              <w:spacing w:line="0" w:lineRule="atLeast"/>
              <w:jc w:val="left"/>
              <w:rPr>
                <w:sz w:val="22"/>
                <w:szCs w:val="22"/>
              </w:rPr>
            </w:pPr>
            <w:r>
              <w:rPr>
                <w:rFonts w:hint="eastAsia"/>
                <w:sz w:val="22"/>
                <w:szCs w:val="22"/>
              </w:rPr>
              <w:t>EMS</w:t>
            </w:r>
          </w:p>
        </w:tc>
        <w:tc>
          <w:tcPr>
            <w:tcW w:w="4218" w:type="dxa"/>
            <w:gridSpan w:val="3"/>
          </w:tcPr>
          <w:p>
            <w:pPr>
              <w:snapToGrid w:val="0"/>
              <w:spacing w:line="0" w:lineRule="atLeast"/>
              <w:jc w:val="left"/>
              <w:rPr>
                <w:sz w:val="22"/>
                <w:szCs w:val="22"/>
              </w:rPr>
            </w:pPr>
            <w:r>
              <w:rPr>
                <w:rFonts w:hint="eastAsia"/>
                <w:sz w:val="21"/>
                <w:szCs w:val="16"/>
              </w:rPr>
              <w:t>Relevant environmental management activities in places involved in</w:t>
            </w:r>
            <w:r>
              <w:rPr>
                <w:rFonts w:hint="eastAsia"/>
                <w:sz w:val="21"/>
                <w:szCs w:val="16"/>
                <w:lang w:val="en-US" w:eastAsia="zh-CN"/>
              </w:rPr>
              <w:t xml:space="preserve"> </w:t>
            </w:r>
            <w:r>
              <w:rPr>
                <w:rFonts w:hint="eastAsia"/>
                <w:sz w:val="21"/>
                <w:szCs w:val="16"/>
              </w:rPr>
              <w:t>Computer software and hardware technology consulting, technical services, software development, computer system integration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432" w:type="dxa"/>
            <w:gridSpan w:val="2"/>
          </w:tcPr>
          <w:p>
            <w:pPr>
              <w:snapToGrid w:val="0"/>
              <w:spacing w:line="0" w:lineRule="atLeast"/>
              <w:jc w:val="left"/>
              <w:rPr>
                <w:sz w:val="22"/>
                <w:szCs w:val="22"/>
              </w:rPr>
            </w:pPr>
            <w:r>
              <w:rPr>
                <w:rFonts w:hint="eastAsia" w:ascii="Tahoma" w:hAnsi="Tahoma" w:eastAsia="宋体" w:cs="Tahoma"/>
                <w:color w:val="000000"/>
                <w:sz w:val="24"/>
              </w:rPr>
              <w:t>No. 186, Yuhua West Road, Shijiazhuang</w:t>
            </w:r>
          </w:p>
        </w:tc>
        <w:tc>
          <w:tcPr>
            <w:tcW w:w="736" w:type="dxa"/>
          </w:tcPr>
          <w:p>
            <w:pPr>
              <w:snapToGrid w:val="0"/>
              <w:spacing w:line="0" w:lineRule="atLeast"/>
              <w:jc w:val="left"/>
              <w:rPr>
                <w:sz w:val="22"/>
                <w:szCs w:val="22"/>
              </w:rPr>
            </w:pPr>
            <w:r>
              <w:rPr>
                <w:rFonts w:hint="eastAsia"/>
                <w:sz w:val="22"/>
                <w:szCs w:val="22"/>
              </w:rPr>
              <w:t>OHSMS</w:t>
            </w:r>
          </w:p>
        </w:tc>
        <w:tc>
          <w:tcPr>
            <w:tcW w:w="4218" w:type="dxa"/>
            <w:gridSpan w:val="3"/>
          </w:tcPr>
          <w:p>
            <w:pPr>
              <w:snapToGrid w:val="0"/>
              <w:spacing w:line="0" w:lineRule="atLeast"/>
              <w:jc w:val="left"/>
              <w:rPr>
                <w:sz w:val="22"/>
                <w:szCs w:val="22"/>
              </w:rPr>
            </w:pPr>
            <w:r>
              <w:rPr>
                <w:rFonts w:hint="eastAsia"/>
                <w:sz w:val="21"/>
                <w:szCs w:val="16"/>
              </w:rPr>
              <w:t>Relevant occupational health and safety management activities in places involved in Computer software and hardware technology consulting, technical services, software development, computer system integration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cs="Arial"/>
                <w:b/>
                <w:bCs/>
                <w:sz w:val="22"/>
                <w:szCs w:val="16"/>
              </w:rPr>
            </w:pPr>
            <w:r>
              <w:rPr>
                <w:rFonts w:hint="eastAsia" w:cs="Arial"/>
                <w:b/>
                <w:bCs/>
                <w:sz w:val="22"/>
                <w:szCs w:val="16"/>
              </w:rPr>
              <w:t>签章</w:t>
            </w:r>
          </w:p>
        </w:tc>
        <w:tc>
          <w:tcPr>
            <w:tcW w:w="3360" w:type="dxa"/>
          </w:tcPr>
          <w:p>
            <w:pPr>
              <w:snapToGrid w:val="0"/>
              <w:spacing w:line="0" w:lineRule="atLeast"/>
              <w:jc w:val="left"/>
              <w:rPr>
                <w:rFonts w:cs="Arial"/>
                <w:b/>
                <w:bCs/>
                <w:sz w:val="22"/>
                <w:szCs w:val="16"/>
              </w:rPr>
            </w:pPr>
          </w:p>
        </w:tc>
        <w:tc>
          <w:tcPr>
            <w:tcW w:w="1680" w:type="dxa"/>
            <w:gridSpan w:val="3"/>
          </w:tcPr>
          <w:p>
            <w:pPr>
              <w:snapToGrid w:val="0"/>
              <w:spacing w:line="0" w:lineRule="atLeast"/>
              <w:jc w:val="left"/>
              <w:rPr>
                <w:rFonts w:hint="eastAsia"/>
                <w:sz w:val="22"/>
                <w:szCs w:val="18"/>
              </w:rPr>
            </w:pPr>
            <w:r>
              <w:rPr>
                <w:rFonts w:hint="eastAsia"/>
                <w:sz w:val="22"/>
                <w:szCs w:val="18"/>
              </w:rPr>
              <w:t>审核组</w:t>
            </w:r>
          </w:p>
          <w:p>
            <w:pPr>
              <w:snapToGrid w:val="0"/>
              <w:spacing w:line="0" w:lineRule="atLeast"/>
              <w:jc w:val="left"/>
              <w:rPr>
                <w:rFonts w:cs="Arial"/>
                <w:b/>
                <w:bCs/>
                <w:sz w:val="22"/>
                <w:szCs w:val="16"/>
              </w:rPr>
            </w:pPr>
            <w:r>
              <w:rPr>
                <w:rFonts w:hint="eastAsia"/>
                <w:sz w:val="22"/>
                <w:szCs w:val="18"/>
              </w:rPr>
              <w:t>签字</w:t>
            </w:r>
          </w:p>
        </w:tc>
        <w:tc>
          <w:tcPr>
            <w:tcW w:w="3346" w:type="dxa"/>
            <w:gridSpan w:val="2"/>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eastAsia="宋体"/>
          <w:lang w:val="en-GB" w:eastAsia="zh-CN"/>
        </w:rPr>
      </w:pPr>
      <w:r>
        <w:rPr>
          <w:rFonts w:hint="eastAsia" w:eastAsia="宋体"/>
          <w:lang w:val="en-GB" w:eastAsia="zh-CN"/>
        </w:rPr>
        <w:drawing>
          <wp:inline distT="0" distB="0" distL="114300" distR="114300">
            <wp:extent cx="6054090" cy="8856345"/>
            <wp:effectExtent l="0" t="0" r="3810" b="8255"/>
            <wp:docPr id="1" name="图片 1" descr="新文档 2022-10-14 14.49.23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0-14 14.49.23_19"/>
                    <pic:cNvPicPr>
                      <a:picLocks noChangeAspect="1"/>
                    </pic:cNvPicPr>
                  </pic:nvPicPr>
                  <pic:blipFill>
                    <a:blip r:embed="rId5"/>
                    <a:stretch>
                      <a:fillRect/>
                    </a:stretch>
                  </pic:blipFill>
                  <pic:spPr>
                    <a:xfrm>
                      <a:off x="0" y="0"/>
                      <a:ext cx="6054090" cy="8856345"/>
                    </a:xfrm>
                    <a:prstGeom prst="rect">
                      <a:avLst/>
                    </a:prstGeom>
                  </pic:spPr>
                </pic:pic>
              </a:graphicData>
            </a:graphic>
          </wp:inline>
        </w:drawing>
      </w:r>
      <w:bookmarkStart w:id="17" w:name="_GoBack"/>
      <w:bookmarkEnd w:id="17"/>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273153A9"/>
    <w:rsid w:val="539353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3</TotalTime>
  <ScaleCrop>false</ScaleCrop>
  <LinksUpToDate>false</LinksUpToDate>
  <CharactersWithSpaces>2193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2022-10-14T07:22:44Z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