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1103-2022-E</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咸阳海龙密封复合材料有限公司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李俐</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91610424221927205J</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hint="default" w:eastAsia="宋体"/>
                <w:sz w:val="22"/>
                <w:szCs w:val="22"/>
                <w:lang w:val="en-US" w:eastAsia="zh-CN"/>
              </w:rPr>
            </w:pPr>
            <w:bookmarkStart w:id="5" w:name="认可标志"/>
            <w:r>
              <w:rPr>
                <w:rFonts w:hint="default" w:eastAsia="宋体"/>
                <w:sz w:val="22"/>
                <w:szCs w:val="22"/>
                <w:lang w:val="en-US" w:eastAsia="zh-CN"/>
              </w:rPr>
              <w:t>E:无CNAS标志</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58</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8" w:name="组织名称Add1"/>
            <w:r>
              <w:rPr>
                <w:rFonts w:hint="eastAsia"/>
                <w:sz w:val="22"/>
                <w:szCs w:val="22"/>
              </w:rPr>
              <w:t>咸阳海龙密封复合材料有限公司</w:t>
            </w:r>
            <w:bookmarkEnd w:id="18"/>
          </w:p>
        </w:tc>
        <w:tc>
          <w:tcPr>
            <w:tcW w:w="5013" w:type="dxa"/>
            <w:gridSpan w:val="4"/>
            <w:vMerge w:val="restart"/>
          </w:tcPr>
          <w:p>
            <w:pPr>
              <w:snapToGrid w:val="0"/>
              <w:spacing w:line="0" w:lineRule="atLeast"/>
              <w:jc w:val="left"/>
              <w:rPr>
                <w:sz w:val="22"/>
                <w:szCs w:val="22"/>
              </w:rPr>
            </w:pPr>
            <w:bookmarkStart w:id="19" w:name="审核范围"/>
            <w:r>
              <w:rPr>
                <w:sz w:val="22"/>
                <w:szCs w:val="22"/>
              </w:rPr>
              <w:t>密封材料；金属橡胶复合密封板；金属橡胶密封件；软木复合材料密封制品的生产和销售所涉及场所的相关环境管理活动</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0" w:name="注册地址"/>
            <w:r>
              <w:rPr>
                <w:rFonts w:hint="eastAsia"/>
                <w:sz w:val="22"/>
                <w:szCs w:val="22"/>
                <w:lang w:val="en-GB"/>
              </w:rPr>
              <w:t>陕西省咸阳市乾县阳峪镇海龙路1号</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rFonts w:hint="eastAsia"/>
                <w:sz w:val="22"/>
                <w:szCs w:val="22"/>
                <w:lang w:val="en-GB"/>
              </w:rPr>
            </w:pPr>
            <w:bookmarkStart w:id="21" w:name="办公地址"/>
            <w:r>
              <w:rPr>
                <w:rFonts w:hint="eastAsia"/>
                <w:sz w:val="22"/>
                <w:szCs w:val="22"/>
                <w:lang w:val="en-GB"/>
              </w:rPr>
              <w:t>陕西省咸阳市乾县阳峪镇海龙路1号</w:t>
            </w:r>
            <w:bookmarkEnd w:id="21"/>
          </w:p>
          <w:p>
            <w:pPr>
              <w:snapToGrid w:val="0"/>
              <w:spacing w:line="0" w:lineRule="atLeast"/>
              <w:jc w:val="left"/>
              <w:rPr>
                <w:rFonts w:hint="eastAsia"/>
                <w:sz w:val="22"/>
                <w:szCs w:val="22"/>
                <w:lang w:val="en-GB"/>
              </w:rPr>
            </w:pPr>
          </w:p>
          <w:p>
            <w:pPr>
              <w:snapToGrid w:val="0"/>
              <w:spacing w:line="0" w:lineRule="atLeast"/>
              <w:jc w:val="left"/>
              <w:rPr>
                <w:rFonts w:hint="eastAsia"/>
                <w:sz w:val="22"/>
                <w:szCs w:val="22"/>
                <w:lang w:val="en-GB"/>
              </w:rPr>
            </w:pPr>
            <w:r>
              <w:rPr>
                <w:rFonts w:hint="eastAsia"/>
                <w:sz w:val="22"/>
                <w:szCs w:val="22"/>
                <w:lang w:val="en-GB"/>
              </w:rPr>
              <w:t xml:space="preserve">陕西省咸阳市乾县工业区92号 </w:t>
            </w:r>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sz w:val="22"/>
                <w:szCs w:val="22"/>
              </w:rPr>
              <w:t xml:space="preserve"> Xanyang Sea-Dragon material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r>
              <w:rPr>
                <w:rFonts w:hint="eastAsia"/>
                <w:sz w:val="21"/>
                <w:szCs w:val="16"/>
              </w:rPr>
              <w:t>Production of metal-rubber composite sealing plates, cork rubber sealing products, metal-rubber composite seals, metal-cork rubber seals, special rubber seals (except for those with qualification requirements) and related environmental management activities.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sz w:val="22"/>
                <w:szCs w:val="22"/>
              </w:rPr>
              <w:t xml:space="preserve">1# Hailong Road, Yanyy Town, Qian County, Xianyang City, Shaanxi Province </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b/>
                <w:color w:val="000000"/>
                <w:sz w:val="22"/>
                <w:szCs w:val="22"/>
              </w:rPr>
            </w:pPr>
            <w:r>
              <w:rPr>
                <w:b/>
                <w:color w:val="000000"/>
                <w:sz w:val="22"/>
                <w:szCs w:val="22"/>
              </w:rPr>
              <w:t>1# Hailong Road, Yanyy Town, Qian County, Xianyang City, Shaanxi Province</w:t>
            </w:r>
          </w:p>
          <w:p>
            <w:pPr>
              <w:snapToGrid w:val="0"/>
              <w:spacing w:line="0" w:lineRule="atLeast"/>
              <w:jc w:val="left"/>
              <w:rPr>
                <w:b/>
                <w:color w:val="000000"/>
                <w:sz w:val="22"/>
                <w:szCs w:val="22"/>
              </w:rPr>
            </w:pPr>
          </w:p>
          <w:p>
            <w:pPr>
              <w:snapToGrid w:val="0"/>
              <w:spacing w:line="0" w:lineRule="atLeast"/>
              <w:jc w:val="left"/>
              <w:rPr>
                <w:b/>
                <w:color w:val="000000"/>
                <w:sz w:val="22"/>
                <w:szCs w:val="22"/>
              </w:rPr>
            </w:pPr>
            <w:r>
              <w:rPr>
                <w:rFonts w:hint="eastAsia"/>
                <w:b/>
                <w:color w:val="000000"/>
                <w:sz w:val="22"/>
                <w:szCs w:val="22"/>
              </w:rPr>
              <w:t>92# Qian County Industrial Zone, Xianyang City, Shaanxi Province</w:t>
            </w:r>
          </w:p>
          <w:p>
            <w:pPr>
              <w:snapToGrid w:val="0"/>
              <w:spacing w:line="0" w:lineRule="atLeast"/>
              <w:jc w:val="left"/>
              <w:rPr>
                <w:b/>
                <w:color w:val="000000"/>
                <w:sz w:val="22"/>
                <w:szCs w:val="22"/>
              </w:rPr>
            </w:pP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bookmarkStart w:id="22" w:name="_GoBack"/>
            <w:r>
              <w:rPr>
                <w:rFonts w:hint="eastAsia" w:eastAsia="宋体" w:cs="Arial"/>
                <w:b/>
                <w:bCs/>
                <w:sz w:val="22"/>
                <w:szCs w:val="16"/>
                <w:lang w:eastAsia="zh-CN"/>
              </w:rPr>
              <w:drawing>
                <wp:anchor distT="0" distB="0" distL="114300" distR="114300" simplePos="0" relativeHeight="251662336" behindDoc="0" locked="0" layoutInCell="1" allowOverlap="1">
                  <wp:simplePos x="0" y="0"/>
                  <wp:positionH relativeFrom="column">
                    <wp:posOffset>-476885</wp:posOffset>
                  </wp:positionH>
                  <wp:positionV relativeFrom="paragraph">
                    <wp:posOffset>-778510</wp:posOffset>
                  </wp:positionV>
                  <wp:extent cx="6911340" cy="9708515"/>
                  <wp:effectExtent l="0" t="0" r="10160" b="6985"/>
                  <wp:wrapNone/>
                  <wp:docPr id="1" name="图片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
                          <pic:cNvPicPr>
                            <a:picLocks noChangeAspect="1"/>
                          </pic:cNvPicPr>
                        </pic:nvPicPr>
                        <pic:blipFill>
                          <a:blip r:embed="rId5"/>
                          <a:stretch>
                            <a:fillRect/>
                          </a:stretch>
                        </pic:blipFill>
                        <pic:spPr>
                          <a:xfrm>
                            <a:off x="0" y="0"/>
                            <a:ext cx="6911340" cy="9708515"/>
                          </a:xfrm>
                          <a:prstGeom prst="rect">
                            <a:avLst/>
                          </a:prstGeom>
                        </pic:spPr>
                      </pic:pic>
                    </a:graphicData>
                  </a:graphic>
                </wp:anchor>
              </w:drawing>
            </w:r>
            <w:bookmarkEnd w:id="22"/>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vAlign w:val="center"/>
          </w:tcPr>
          <w:p>
            <w:pPr>
              <w:snapToGrid w:val="0"/>
              <w:spacing w:line="0" w:lineRule="atLeast"/>
              <w:jc w:val="center"/>
              <w:rPr>
                <w:rFonts w:cs="Arial"/>
                <w:b/>
                <w:bCs/>
                <w:sz w:val="22"/>
                <w:szCs w:val="16"/>
              </w:rPr>
            </w:pPr>
            <w:r>
              <w:rPr>
                <w:rFonts w:hint="eastAsia" w:cs="Arial"/>
                <w:b/>
                <w:bCs/>
                <w:sz w:val="22"/>
                <w:szCs w:val="16"/>
              </w:rPr>
              <w:t>受审核方签章</w:t>
            </w:r>
          </w:p>
        </w:tc>
        <w:tc>
          <w:tcPr>
            <w:tcW w:w="5040" w:type="dxa"/>
            <w:gridSpan w:val="3"/>
            <w:vAlign w:val="center"/>
          </w:tcPr>
          <w:p>
            <w:pPr>
              <w:snapToGrid w:val="0"/>
              <w:spacing w:line="0" w:lineRule="atLeast"/>
              <w:jc w:val="center"/>
              <w:rPr>
                <w:rFonts w:cs="Arial"/>
                <w:b/>
                <w:bCs/>
                <w:sz w:val="22"/>
                <w:szCs w:val="16"/>
              </w:rPr>
            </w:pPr>
          </w:p>
          <w:p>
            <w:pPr>
              <w:snapToGrid w:val="0"/>
              <w:spacing w:line="0" w:lineRule="atLeast"/>
              <w:jc w:val="center"/>
              <w:rPr>
                <w:rFonts w:hint="eastAsia" w:eastAsia="宋体" w:cs="Arial"/>
                <w:b/>
                <w:bCs/>
                <w:sz w:val="22"/>
                <w:szCs w:val="16"/>
                <w:lang w:eastAsia="zh-CN"/>
              </w:rPr>
            </w:pPr>
          </w:p>
          <w:p>
            <w:pPr>
              <w:snapToGrid w:val="0"/>
              <w:spacing w:line="0" w:lineRule="atLeast"/>
              <w:jc w:val="center"/>
              <w:rPr>
                <w:rFonts w:cs="Arial"/>
                <w:b/>
                <w:bCs/>
                <w:sz w:val="22"/>
                <w:szCs w:val="16"/>
              </w:rPr>
            </w:pPr>
          </w:p>
          <w:p>
            <w:pPr>
              <w:snapToGrid w:val="0"/>
              <w:spacing w:line="0" w:lineRule="atLeast"/>
              <w:jc w:val="center"/>
              <w:rPr>
                <w:rFonts w:cs="Arial"/>
                <w:b/>
                <w:bCs/>
                <w:sz w:val="22"/>
                <w:szCs w:val="16"/>
              </w:rPr>
            </w:pPr>
          </w:p>
        </w:tc>
        <w:tc>
          <w:tcPr>
            <w:tcW w:w="1370" w:type="dxa"/>
            <w:vAlign w:val="center"/>
          </w:tcPr>
          <w:p>
            <w:pPr>
              <w:snapToGrid w:val="0"/>
              <w:spacing w:line="0" w:lineRule="atLeast"/>
              <w:jc w:val="center"/>
              <w:rPr>
                <w:sz w:val="22"/>
                <w:szCs w:val="22"/>
              </w:rPr>
            </w:pPr>
            <w:r>
              <w:rPr>
                <w:rFonts w:hint="eastAsia"/>
                <w:b/>
                <w:bCs/>
                <w:sz w:val="22"/>
                <w:szCs w:val="18"/>
              </w:rPr>
              <w:t>审核组长签字</w:t>
            </w:r>
          </w:p>
        </w:tc>
        <w:tc>
          <w:tcPr>
            <w:tcW w:w="1976" w:type="dxa"/>
            <w:vAlign w:val="center"/>
          </w:tcPr>
          <w:p>
            <w:pPr>
              <w:snapToGrid w:val="0"/>
              <w:spacing w:line="0" w:lineRule="atLeast"/>
              <w:jc w:val="center"/>
              <w:rPr>
                <w:sz w:val="22"/>
                <w:szCs w:val="22"/>
              </w:rPr>
            </w:pPr>
            <w:r>
              <w:rPr>
                <w:rFonts w:hint="eastAsia"/>
                <w:vertAlign w:val="baseline"/>
                <w:lang w:val="en-US" w:eastAsia="zh-CN"/>
              </w:rPr>
              <w:drawing>
                <wp:anchor distT="0" distB="0" distL="114300" distR="114300" simplePos="0" relativeHeight="251661312" behindDoc="0" locked="0" layoutInCell="1" allowOverlap="1">
                  <wp:simplePos x="0" y="0"/>
                  <wp:positionH relativeFrom="column">
                    <wp:posOffset>247650</wp:posOffset>
                  </wp:positionH>
                  <wp:positionV relativeFrom="paragraph">
                    <wp:posOffset>162560</wp:posOffset>
                  </wp:positionV>
                  <wp:extent cx="408305" cy="313690"/>
                  <wp:effectExtent l="0" t="0" r="10795" b="3810"/>
                  <wp:wrapNone/>
                  <wp:docPr id="93" name="图片 93"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577475f2d71659eed95b546a81c2d41"/>
                          <pic:cNvPicPr>
                            <a:picLocks noChangeAspect="1"/>
                          </pic:cNvPicPr>
                        </pic:nvPicPr>
                        <pic:blipFill>
                          <a:blip r:embed="rId6"/>
                          <a:stretch>
                            <a:fillRect/>
                          </a:stretch>
                        </pic:blipFill>
                        <pic:spPr>
                          <a:xfrm>
                            <a:off x="0" y="0"/>
                            <a:ext cx="408305" cy="313690"/>
                          </a:xfrm>
                          <a:prstGeom prst="rect">
                            <a:avLst/>
                          </a:prstGeom>
                        </pic:spPr>
                      </pic:pic>
                    </a:graphicData>
                  </a:graphic>
                </wp:anchor>
              </w:drawing>
            </w:r>
          </w:p>
        </w:tc>
      </w:tr>
    </w:tbl>
    <w:p>
      <w:pPr>
        <w:snapToGrid w:val="0"/>
        <w:spacing w:line="0" w:lineRule="atLeast"/>
        <w:jc w:val="center"/>
        <w:rPr>
          <w:szCs w:val="24"/>
        </w:rPr>
      </w:pPr>
    </w:p>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rPr>
          <w:rFonts w:hint="eastAsia" w:eastAsia="宋体"/>
          <w:lang w:eastAsia="zh-CN"/>
        </w:rPr>
      </w:pPr>
      <w:r>
        <w:rPr>
          <w:rFonts w:hint="eastAsia"/>
        </w:rPr>
        <w:t>5、组织需自行提供英文版认证证书信息。</w:t>
      </w: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JhN2U4Y2Q5MGE2Mzc1MDlkNDVmNzZkYmRlMTYyYjcifQ=="/>
  </w:docVars>
  <w:rsids>
    <w:rsidRoot w:val="00000000"/>
    <w:rsid w:val="0E5C1B04"/>
    <w:rsid w:val="7D4A55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1151</Words>
  <Characters>1976</Characters>
  <Lines>18</Lines>
  <Paragraphs>5</Paragraphs>
  <TotalTime>3</TotalTime>
  <ScaleCrop>false</ScaleCrop>
  <LinksUpToDate>false</LinksUpToDate>
  <CharactersWithSpaces>2193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LIL</cp:lastModifiedBy>
  <cp:lastPrinted>2019-05-13T03:13:00Z</cp:lastPrinted>
  <dcterms:modified xsi:type="dcterms:W3CDTF">2022-10-13T09:19:24Z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2052-11.1.0.12598</vt:lpwstr>
  </property>
</Properties>
</file>