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1103-2022-E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咸阳海龙密封复合材料有限公司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咸阳海龙密封复合材料有限公司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陕西省咸阳市乾县阳峪镇海龙路1号</w:t>
            </w:r>
            <w:bookmarkEnd w:id="6"/>
          </w:p>
        </w:tc>
        <w:tc>
          <w:tcPr>
            <w:tcW w:w="1242" w:type="dxa"/>
            <w:vMerge w:val="restart"/>
            <w:vAlign w:val="center"/>
          </w:tcPr>
          <w:p>
            <w:r>
              <w:rPr>
                <w:rFonts w:hint="eastAsia"/>
              </w:rPr>
              <w:t>邮编</w:t>
            </w:r>
          </w:p>
        </w:tc>
        <w:tc>
          <w:tcPr>
            <w:tcW w:w="1771" w:type="dxa"/>
          </w:tcPr>
          <w:p>
            <w:bookmarkStart w:id="7" w:name="注册邮编"/>
            <w:r>
              <w:t>713306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陕西省咸阳市乾县阳峪镇海龙路1号</w:t>
            </w:r>
            <w:bookmarkEnd w:id="8"/>
          </w:p>
        </w:tc>
        <w:tc>
          <w:tcPr>
            <w:tcW w:w="1242" w:type="dxa"/>
            <w:vMerge w:val="continue"/>
            <w:vAlign w:val="center"/>
          </w:tcPr>
          <w:p/>
        </w:tc>
        <w:tc>
          <w:tcPr>
            <w:tcW w:w="1771" w:type="dxa"/>
          </w:tcPr>
          <w:p>
            <w:bookmarkStart w:id="9" w:name="办公邮编"/>
            <w:r>
              <w:t>713306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祝立夫</w:t>
            </w:r>
            <w:bookmarkEnd w:id="10"/>
          </w:p>
        </w:tc>
        <w:tc>
          <w:tcPr>
            <w:tcW w:w="1313" w:type="dxa"/>
            <w:vAlign w:val="center"/>
          </w:tcPr>
          <w:p>
            <w:r>
              <w:rPr>
                <w:rFonts w:hint="eastAsia"/>
              </w:rPr>
              <w:t>电话.</w:t>
            </w:r>
          </w:p>
        </w:tc>
        <w:tc>
          <w:tcPr>
            <w:tcW w:w="2180" w:type="dxa"/>
            <w:vAlign w:val="center"/>
          </w:tcPr>
          <w:p>
            <w:bookmarkStart w:id="11" w:name="联系人电话"/>
            <w:r>
              <w:t>029-35367399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祝海峰</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bookmarkStart w:id="14" w:name="管理者代表"/>
            <w:r>
              <w:t>祝</w:t>
            </w:r>
            <w:bookmarkEnd w:id="14"/>
            <w:r>
              <w:rPr>
                <w:rFonts w:hint="eastAsia"/>
                <w:lang w:val="en-US" w:eastAsia="zh-CN"/>
              </w:rPr>
              <w:t>亚利</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前处理→炼胶-→压延→硫化-→冲压→检验→入库。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2022年10月10日 上午至2022年10月11日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sz w:val="22"/>
                <w:szCs w:val="22"/>
                <w:lang w:val="en-GB"/>
              </w:rPr>
            </w:pPr>
            <w:r>
              <w:t>陕西省咸阳市乾县阳峪镇海龙路1号</w:t>
            </w:r>
          </w:p>
          <w:p>
            <w:pPr>
              <w:snapToGrid w:val="0"/>
              <w:spacing w:line="0" w:lineRule="atLeast"/>
              <w:jc w:val="left"/>
              <w:rPr>
                <w:rFonts w:hint="eastAsia"/>
                <w:sz w:val="22"/>
                <w:szCs w:val="22"/>
                <w:lang w:val="en-GB"/>
              </w:rPr>
            </w:pPr>
            <w:r>
              <w:rPr>
                <w:rFonts w:hint="eastAsia"/>
                <w:sz w:val="22"/>
                <w:szCs w:val="22"/>
                <w:lang w:val="en-GB"/>
              </w:rPr>
              <w:t xml:space="preserve">陕西省咸阳市乾县工业区92号 </w:t>
            </w:r>
          </w:p>
          <w:p>
            <w:pPr>
              <w:pStyle w:val="2"/>
            </w:pPr>
            <w:r>
              <w:rPr>
                <w:rFonts w:hint="eastAsia"/>
                <w:sz w:val="22"/>
                <w:szCs w:val="22"/>
                <w:lang w:val="en-GB"/>
              </w:rPr>
              <w:t xml:space="preserve">陕西省咸阳市乾县工业区92号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密封材料；金属橡胶复合密封板；金属橡胶密封件；软木复合材料密封制品的生产和销售所涉及场所的相关环境管理活动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left"/>
            </w:pPr>
            <w:r>
              <w:rPr>
                <w:rFonts w:hint="eastAsia"/>
              </w:rPr>
              <w:t>体系文件实施时间</w:t>
            </w:r>
          </w:p>
        </w:tc>
        <w:tc>
          <w:tcPr>
            <w:tcW w:w="2733" w:type="dxa"/>
            <w:vAlign w:val="center"/>
          </w:tcPr>
          <w:p>
            <w:pPr>
              <w:jc w:val="center"/>
              <w:rPr>
                <w:rFonts w:hint="eastAsia" w:eastAsia="宋体"/>
                <w:lang w:val="en-US" w:eastAsia="zh-CN"/>
              </w:rPr>
            </w:pPr>
            <w:r>
              <w:rPr>
                <w:rFonts w:ascii="黑体"/>
              </w:rPr>
              <w:t>2019</w:t>
            </w:r>
            <w:r>
              <w:t xml:space="preserve"> </w:t>
            </w:r>
            <w:r>
              <w:rPr>
                <w:rFonts w:hint="eastAsia" w:ascii="黑体"/>
                <w:lang w:val="en-US" w:eastAsia="zh-CN"/>
              </w:rPr>
              <w:t>年</w:t>
            </w:r>
            <w:r>
              <w:t xml:space="preserve"> 0</w:t>
            </w:r>
            <w:r>
              <w:rPr>
                <w:rFonts w:ascii="黑体"/>
              </w:rPr>
              <w:t>1</w:t>
            </w:r>
            <w:r>
              <w:rPr>
                <w:rFonts w:hint="eastAsia" w:ascii="黑体"/>
                <w:lang w:val="en-US" w:eastAsia="zh-CN"/>
              </w:rPr>
              <w:t>月</w:t>
            </w:r>
            <w:r>
              <w:t>0</w:t>
            </w:r>
            <w:r>
              <w:rPr>
                <w:rFonts w:ascii="黑体"/>
              </w:rPr>
              <w:t>1</w:t>
            </w:r>
            <w:r>
              <w:rPr>
                <w:rFonts w:hint="eastAsia" w:ascii="黑体"/>
                <w:lang w:val="en-US"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2021年11月05日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 年 10 月 24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01"/>
        <w:gridCol w:w="8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01" w:type="dxa"/>
            <w:shd w:val="clear" w:color="auto" w:fill="F3F3F3"/>
            <w:tcMar>
              <w:left w:w="57" w:type="dxa"/>
              <w:right w:w="57" w:type="dxa"/>
            </w:tcMar>
          </w:tcPr>
          <w:p>
            <w:r>
              <w:rPr>
                <w:rFonts w:hint="eastAsia"/>
              </w:rPr>
              <w:t>审核范围（产品和过程）</w:t>
            </w:r>
          </w:p>
          <w:p/>
          <w:p/>
        </w:tc>
        <w:tc>
          <w:tcPr>
            <w:tcW w:w="8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宋体"/>
                <w:b w:val="0"/>
                <w:bCs/>
                <w:sz w:val="21"/>
              </w:rPr>
            </w:pPr>
            <w:r>
              <w:rPr>
                <w:rFonts w:hint="eastAsia" w:ascii="宋体"/>
                <w:b w:val="0"/>
                <w:bCs/>
                <w:sz w:val="21"/>
              </w:rPr>
              <w:t>咸阳海龙密封复合材料有限公司</w:t>
            </w:r>
          </w:p>
          <w:p>
            <w:pPr>
              <w:rPr>
                <w:lang w:val="de-DE" w:eastAsia="ja-JP"/>
              </w:rPr>
            </w:pPr>
            <w:r>
              <w:rPr>
                <w:rFonts w:ascii="宋体"/>
                <w:b w:val="0"/>
                <w:bCs/>
                <w:sz w:val="21"/>
              </w:rPr>
              <w:t>陕西省咸阳市乾县阳峪镇海龙路1号</w:t>
            </w:r>
          </w:p>
        </w:tc>
        <w:tc>
          <w:tcPr>
            <w:tcW w:w="2267" w:type="dxa"/>
          </w:tcPr>
          <w:p>
            <w:r>
              <w:t>陕西省咸阳市乾县阳峪镇海龙路1号</w:t>
            </w:r>
          </w:p>
          <w:p>
            <w:pPr>
              <w:pStyle w:val="2"/>
              <w:rPr>
                <w:lang w:val="de-DE" w:eastAsia="ja-JP"/>
              </w:rPr>
            </w:pPr>
            <w:r>
              <w:rPr>
                <w:rFonts w:hint="eastAsia" w:ascii="宋体" w:hAnsi="Times New Roman" w:eastAsia="宋体" w:cs="Times New Roman"/>
                <w:b w:val="0"/>
                <w:bCs/>
                <w:sz w:val="21"/>
              </w:rPr>
              <w:t>陕西省咸阳市乾县工业区92号</w:t>
            </w:r>
          </w:p>
        </w:tc>
        <w:tc>
          <w:tcPr>
            <w:tcW w:w="571" w:type="dxa"/>
            <w:vAlign w:val="center"/>
          </w:tcPr>
          <w:p>
            <w:pPr>
              <w:rPr>
                <w:lang w:eastAsia="ja-JP"/>
              </w:rPr>
            </w:pPr>
            <w:bookmarkStart w:id="31" w:name="体系人数"/>
            <w:r>
              <w:rPr>
                <w:sz w:val="22"/>
                <w:szCs w:val="22"/>
              </w:rPr>
              <w:t>58</w:t>
            </w:r>
            <w:bookmarkEnd w:id="31"/>
          </w:p>
        </w:tc>
        <w:tc>
          <w:tcPr>
            <w:tcW w:w="2601" w:type="dxa"/>
            <w:vAlign w:val="center"/>
          </w:tcPr>
          <w:p>
            <w:pPr>
              <w:rPr>
                <w:lang w:eastAsia="ja-JP"/>
              </w:rPr>
            </w:pPr>
            <w:r>
              <w:rPr>
                <w:sz w:val="20"/>
              </w:rPr>
              <w:t>橡胶密封材料；金属橡胶复合密封板；金属橡胶密封件；软木复合材料密封制品的开发和生产（有资质要求的除外）及相关环境管理活动</w:t>
            </w:r>
          </w:p>
        </w:tc>
        <w:tc>
          <w:tcPr>
            <w:tcW w:w="871" w:type="dxa"/>
            <w:vAlign w:val="center"/>
          </w:tcPr>
          <w:p>
            <w:pPr>
              <w:rPr>
                <w:rFonts w:hint="eastAsia"/>
                <w:b/>
                <w:sz w:val="21"/>
                <w:szCs w:val="21"/>
              </w:rPr>
            </w:pPr>
            <w:r>
              <w:rPr>
                <w:rFonts w:hint="eastAsia"/>
                <w:b/>
                <w:sz w:val="21"/>
                <w:szCs w:val="21"/>
              </w:rPr>
              <w:t>GB/T 24001-2016</w:t>
            </w:r>
          </w:p>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01" w:type="dxa"/>
            <w:vAlign w:val="center"/>
          </w:tcPr>
          <w:p>
            <w:pPr>
              <w:rPr>
                <w:lang w:eastAsia="ja-JP"/>
              </w:rPr>
            </w:pPr>
          </w:p>
        </w:tc>
        <w:tc>
          <w:tcPr>
            <w:tcW w:w="8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01" w:type="dxa"/>
            <w:vAlign w:val="center"/>
          </w:tcPr>
          <w:p>
            <w:pPr>
              <w:rPr>
                <w:lang w:eastAsia="ja-JP"/>
              </w:rPr>
            </w:pPr>
          </w:p>
        </w:tc>
        <w:tc>
          <w:tcPr>
            <w:tcW w:w="8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01" w:type="dxa"/>
            <w:vAlign w:val="center"/>
          </w:tcPr>
          <w:p>
            <w:pPr>
              <w:rPr>
                <w:lang w:eastAsia="ja-JP"/>
              </w:rPr>
            </w:pPr>
          </w:p>
        </w:tc>
        <w:tc>
          <w:tcPr>
            <w:tcW w:w="8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01" w:type="dxa"/>
            <w:vAlign w:val="center"/>
          </w:tcPr>
          <w:p>
            <w:pPr>
              <w:rPr>
                <w:lang w:eastAsia="ja-JP"/>
              </w:rPr>
            </w:pPr>
          </w:p>
        </w:tc>
        <w:tc>
          <w:tcPr>
            <w:tcW w:w="8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340360</wp:posOffset>
                  </wp:positionH>
                  <wp:positionV relativeFrom="paragraph">
                    <wp:posOffset>100965</wp:posOffset>
                  </wp:positionV>
                  <wp:extent cx="469265" cy="360680"/>
                  <wp:effectExtent l="0" t="0" r="635" b="762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clrChange>
                              <a:clrFrom>
                                <a:srgbClr val="212121">
                                  <a:alpha val="100000"/>
                                </a:srgbClr>
                              </a:clrFrom>
                              <a:clrTo>
                                <a:srgbClr val="212121">
                                  <a:alpha val="100000"/>
                                  <a:alpha val="0"/>
                                </a:srgbClr>
                              </a:clrTo>
                            </a:clrChange>
                          </a:blip>
                          <a:stretch>
                            <a:fillRect/>
                          </a:stretch>
                        </pic:blipFill>
                        <pic:spPr>
                          <a:xfrm>
                            <a:off x="0" y="0"/>
                            <a:ext cx="469265" cy="360680"/>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both"/>
              <w:rPr>
                <w:rFonts w:ascii="宋体"/>
                <w:b/>
                <w:color w:val="0000FF"/>
                <w:szCs w:val="21"/>
              </w:rPr>
            </w:pPr>
            <w:bookmarkStart w:id="35" w:name="_GoBack"/>
            <w:bookmarkEnd w:id="35"/>
            <w:r>
              <w:rPr>
                <w:rFonts w:hint="eastAsia"/>
                <w:b/>
                <w:sz w:val="20"/>
              </w:rPr>
              <w:t xml:space="preserve">2022年10月11日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highlight w:val="cyan"/>
                    </w:rPr>
                  </w:pPr>
                  <w:r>
                    <w:rPr>
                      <w:rFonts w:hint="eastAsia"/>
                    </w:rPr>
                    <w:t>重要的相关方</w:t>
                  </w:r>
                </w:p>
              </w:tc>
              <w:tc>
                <w:tcPr>
                  <w:tcW w:w="6912" w:type="dxa"/>
                  <w:vAlign w:val="top"/>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vAlign w:val="top"/>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vAlign w:val="top"/>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vAlign w:val="top"/>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vAlign w:val="top"/>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vAlign w:val="top"/>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vAlign w:val="top"/>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vAlign w:val="top"/>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全员参与，增强环保意识；合理用料，节能降耗减废；合规经营，减少环境污染；</w:t>
            </w:r>
          </w:p>
          <w:p>
            <w:pPr>
              <w:shd w:val="clear" w:color="auto" w:fill="EBF1DE" w:themeFill="accent3" w:themeFillTint="32"/>
              <w:rPr>
                <w:u w:val="single"/>
              </w:rPr>
            </w:pPr>
            <w:r>
              <w:rPr>
                <w:rFonts w:hint="eastAsia"/>
                <w:u w:val="single"/>
              </w:rPr>
              <w:t>持续改进，树立海龙形象。</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管理研究所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color w:val="auto"/>
                      <w:lang w:val="en-US" w:eastAsia="zh-CN"/>
                    </w:rPr>
                    <w:t>来自当地环保部门的监察</w:t>
                  </w:r>
                </w:p>
              </w:tc>
              <w:tc>
                <w:tcPr>
                  <w:tcW w:w="3965" w:type="dxa"/>
                  <w:vAlign w:val="top"/>
                </w:tcPr>
                <w:p>
                  <w:pPr>
                    <w:shd w:val="clear" w:color="auto" w:fill="EBF1DE" w:themeFill="accent3" w:themeFillTint="32"/>
                  </w:pPr>
                  <w:r>
                    <w:rPr>
                      <w:rFonts w:hint="eastAsia"/>
                      <w:color w:val="auto"/>
                      <w:lang w:val="en-US" w:eastAsia="zh-CN"/>
                    </w:rPr>
                    <w:t>合规合法经营</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40" w:type="dxa"/>
                  <w:vAlign w:val="top"/>
                </w:tcPr>
                <w:p>
                  <w:pPr>
                    <w:shd w:val="clear" w:color="auto" w:fill="EBF1DE" w:themeFill="accent3" w:themeFillTint="32"/>
                  </w:pPr>
                  <w:r>
                    <w:rPr>
                      <w:rFonts w:hint="eastAsia"/>
                      <w:color w:val="auto"/>
                      <w:lang w:val="en-US" w:eastAsia="zh-CN"/>
                    </w:rPr>
                    <w:t>污染物超标排放</w:t>
                  </w:r>
                </w:p>
              </w:tc>
              <w:tc>
                <w:tcPr>
                  <w:tcW w:w="3965" w:type="dxa"/>
                  <w:vAlign w:val="top"/>
                </w:tcPr>
                <w:p>
                  <w:pPr>
                    <w:shd w:val="clear" w:color="auto" w:fill="EBF1DE" w:themeFill="accent3" w:themeFillTint="32"/>
                  </w:pPr>
                  <w:r>
                    <w:rPr>
                      <w:rFonts w:hint="eastAsia"/>
                      <w:color w:val="auto"/>
                      <w:lang w:val="en-US" w:eastAsia="zh-CN"/>
                    </w:rPr>
                    <w:t>环保设备正常运行</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color w:val="auto"/>
                      <w:lang w:val="en-US" w:eastAsia="zh-CN"/>
                    </w:rPr>
                    <w:t>危险废弃物未按照要求处置</w:t>
                  </w:r>
                </w:p>
              </w:tc>
              <w:tc>
                <w:tcPr>
                  <w:tcW w:w="3965" w:type="dxa"/>
                  <w:vAlign w:val="top"/>
                </w:tcPr>
                <w:p>
                  <w:pPr>
                    <w:shd w:val="clear" w:color="auto" w:fill="EBF1DE" w:themeFill="accent3" w:themeFillTint="32"/>
                  </w:pPr>
                  <w:r>
                    <w:rPr>
                      <w:rFonts w:hint="eastAsia"/>
                      <w:color w:val="auto"/>
                      <w:lang w:val="en-US" w:eastAsia="zh-CN"/>
                    </w:rPr>
                    <w:t>交由有资质的处理单位统一处理</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color w:val="auto"/>
              </w:rPr>
            </w:pPr>
            <w:r>
              <w:rPr>
                <w:rFonts w:hint="eastAsia"/>
                <w:color w:val="auto"/>
              </w:rPr>
              <w:t>□安全生产许可证编号：</w:t>
            </w:r>
          </w:p>
          <w:p>
            <w:pPr>
              <w:shd w:val="clear" w:color="auto" w:fill="EBF1DE" w:themeFill="accent3" w:themeFillTint="32"/>
              <w:rPr>
                <w:color w:val="auto"/>
              </w:rPr>
            </w:pPr>
            <w:r>
              <w:rPr>
                <w:rFonts w:hint="eastAsia"/>
                <w:color w:val="auto"/>
                <w:lang w:eastAsia="zh-CN"/>
              </w:rPr>
              <w:t>☑</w:t>
            </w:r>
            <w:r>
              <w:rPr>
                <w:rFonts w:hint="eastAsia"/>
                <w:color w:val="auto"/>
              </w:rPr>
              <w:t>排污许可证编号：91610424221927205J001Z</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rFonts w:hint="eastAsia" w:eastAsia="宋体"/>
                <w:color w:val="auto"/>
                <w:lang w:val="en-US" w:eastAsia="zh-CN"/>
              </w:rPr>
            </w:pPr>
            <w:r>
              <w:rPr>
                <w:rFonts w:hint="eastAsia"/>
                <w:color w:val="auto"/>
                <w:lang w:eastAsia="zh-CN"/>
              </w:rPr>
              <w:t>☑</w:t>
            </w:r>
            <w:r>
              <w:rPr>
                <w:rFonts w:hint="eastAsia"/>
                <w:color w:val="auto"/>
              </w:rPr>
              <w:t>环境影响报告表日期：</w:t>
            </w:r>
            <w:r>
              <w:rPr>
                <w:rFonts w:hint="eastAsia" w:ascii="宋体" w:hAnsi="宋体"/>
                <w:szCs w:val="21"/>
              </w:rPr>
              <w:t>2017年9月2日</w:t>
            </w:r>
            <w:r>
              <w:rPr>
                <w:rFonts w:hint="eastAsia" w:ascii="宋体" w:hAnsi="宋体"/>
                <w:szCs w:val="21"/>
                <w:lang w:val="en-US" w:eastAsia="zh-CN"/>
              </w:rPr>
              <w:t>\</w:t>
            </w:r>
            <w:r>
              <w:rPr>
                <w:rFonts w:hint="eastAsia" w:ascii="宋体" w:hAnsi="宋体"/>
                <w:szCs w:val="21"/>
              </w:rPr>
              <w:t>2018年9月28日</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lang w:val="en-US" w:eastAsia="zh-CN"/>
                    </w:rPr>
                    <w:t>大气无污染事故</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加强环保设备的运行维护</w:t>
                  </w:r>
                </w:p>
              </w:tc>
              <w:tc>
                <w:tcPr>
                  <w:tcW w:w="1350" w:type="dxa"/>
                  <w:shd w:val="clear" w:color="auto" w:fill="auto"/>
                  <w:vAlign w:val="center"/>
                </w:tcPr>
                <w:p>
                  <w:pPr>
                    <w:shd w:val="clear" w:color="auto" w:fill="EBF1DE" w:themeFill="accent3" w:themeFillTint="32"/>
                    <w:rPr>
                      <w:lang w:val="en-GB"/>
                    </w:rPr>
                  </w:pPr>
                  <w:r>
                    <w:rPr>
                      <w:rFonts w:hint="eastAsia"/>
                      <w:lang w:val="en-GB"/>
                    </w:rPr>
                    <w:t>管理研究所</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合格100%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lang w:val="en-US" w:eastAsia="zh-CN"/>
                    </w:rPr>
                    <w:t>土壤无污染事故</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加强污水处理站、危险废弃物仓库的运行维护</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rPr>
                    <w:t>管理研究所</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合格100%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lang w:val="en-US" w:eastAsia="zh-CN"/>
                    </w:rPr>
                    <w:t>水体无污染事故</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加强、化粪池、污水处理站的运行维护</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rPr>
                    <w:t>管理研究所</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合格100%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lang w:val="en-US" w:eastAsia="zh-CN"/>
                    </w:rPr>
                    <w:t>噪音无污染事故</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增加设备的消音罩</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rPr>
                    <w:t>管理研究所</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合格100%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37500</w:t>
            </w:r>
            <w:r>
              <w:rPr>
                <w:rFonts w:hint="eastAsia"/>
              </w:rPr>
              <w:t>平方米；生产车间</w:t>
            </w:r>
            <w:r>
              <w:rPr>
                <w:rFonts w:hint="eastAsia"/>
                <w:lang w:val="en-US" w:eastAsia="zh-CN"/>
              </w:rPr>
              <w:t>6</w:t>
            </w:r>
            <w:r>
              <w:rPr>
                <w:rFonts w:hint="eastAsia"/>
              </w:rPr>
              <w:t>个；库房</w:t>
            </w:r>
            <w:r>
              <w:rPr>
                <w:rFonts w:hint="eastAsia"/>
                <w:lang w:val="en-US" w:eastAsia="zh-CN"/>
              </w:rPr>
              <w:t>6</w:t>
            </w:r>
            <w:r>
              <w:rPr>
                <w:rFonts w:hint="eastAsia"/>
              </w:rPr>
              <w:t>个；实验室</w:t>
            </w:r>
            <w:r>
              <w:rPr>
                <w:rFonts w:hint="eastAsia"/>
                <w:lang w:val="en-US" w:eastAsia="zh-CN"/>
              </w:rPr>
              <w:t>4</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b w:val="0"/>
                <w:bCs/>
                <w:sz w:val="21"/>
                <w:szCs w:val="21"/>
                <w:u w:val="single"/>
              </w:rPr>
              <w:t>开炼机、密炼机、硫化机、压延机、磷化线、冲床、压力机</w:t>
            </w:r>
          </w:p>
          <w:p>
            <w:pPr>
              <w:shd w:val="clear" w:color="auto" w:fill="EBF1DE" w:themeFill="accent3" w:themeFillTint="32"/>
              <w:rPr>
                <w:u w:val="single"/>
              </w:rPr>
            </w:pPr>
            <w:r>
              <w:rPr>
                <w:rFonts w:hint="eastAsia"/>
              </w:rPr>
              <w:t>主要环保设备有：</w:t>
            </w:r>
            <w:r>
              <w:rPr>
                <w:rFonts w:hint="eastAsia" w:ascii="宋体" w:hAnsi="宋体" w:eastAsia="宋体" w:cs="宋体"/>
                <w:sz w:val="21"/>
                <w:szCs w:val="21"/>
                <w:u w:val="single"/>
              </w:rPr>
              <w:t>分类垃圾桶、油烟净化器、油水分离器、集气罩、UV光解处理器、污水处理站</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带表卡尺、PH计、数字式粘度计、涂层测厚仪、红外线测温仪、数显外径千分尺、扭矩扳手</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汽车密封圈</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5713"/>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重要环境因素</w:t>
                  </w:r>
                </w:p>
              </w:tc>
              <w:tc>
                <w:tcPr>
                  <w:tcW w:w="5713" w:type="dxa"/>
                </w:tcPr>
                <w:p>
                  <w:pPr>
                    <w:shd w:val="clear" w:color="auto" w:fill="EBF1DE" w:themeFill="accent3" w:themeFillTint="32"/>
                    <w:jc w:val="left"/>
                  </w:pPr>
                  <w:r>
                    <w:rPr>
                      <w:rFonts w:hint="eastAsia"/>
                    </w:rPr>
                    <w:t>控制措施</w:t>
                  </w:r>
                </w:p>
              </w:tc>
              <w:tc>
                <w:tcPr>
                  <w:tcW w:w="1292"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能源消耗</w:t>
                  </w:r>
                </w:p>
              </w:tc>
              <w:tc>
                <w:tcPr>
                  <w:tcW w:w="5713" w:type="dxa"/>
                  <w:vAlign w:val="top"/>
                </w:tcPr>
                <w:p>
                  <w:pPr>
                    <w:shd w:val="clear" w:color="auto" w:fill="EBF1DE" w:themeFill="accent3" w:themeFillTint="32"/>
                    <w:jc w:val="left"/>
                  </w:pPr>
                  <w:r>
                    <w:rPr>
                      <w:rFonts w:hint="eastAsia"/>
                    </w:rPr>
                    <w:t>生产过程注意节水、节电、节胶料，人走关闭设备和照明开关</w:t>
                  </w:r>
                  <w:r>
                    <w:rPr>
                      <w:rFonts w:hint="eastAsia"/>
                      <w:lang w:eastAsia="zh-CN"/>
                    </w:rPr>
                    <w:t>。</w:t>
                  </w:r>
                </w:p>
              </w:tc>
              <w:tc>
                <w:tcPr>
                  <w:tcW w:w="1292" w:type="dxa"/>
                  <w:vAlign w:val="top"/>
                </w:tcPr>
                <w:p>
                  <w:pPr>
                    <w:shd w:val="clear" w:color="auto" w:fill="EBF1DE" w:themeFill="accent3" w:themeFillTint="32"/>
                    <w:jc w:val="left"/>
                  </w:pPr>
                  <w:r>
                    <w:rPr>
                      <w:rFonts w:hint="eastAsia"/>
                      <w:lang w:val="en-US" w:eastAsia="zh-CN"/>
                    </w:rPr>
                    <w:t>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资源消耗</w:t>
                  </w:r>
                </w:p>
              </w:tc>
              <w:tc>
                <w:tcPr>
                  <w:tcW w:w="5713" w:type="dxa"/>
                  <w:vAlign w:val="top"/>
                </w:tcPr>
                <w:p>
                  <w:pPr>
                    <w:shd w:val="clear" w:color="auto" w:fill="EBF1DE" w:themeFill="accent3" w:themeFillTint="32"/>
                    <w:jc w:val="left"/>
                  </w:pPr>
                  <w:r>
                    <w:rPr>
                      <w:rFonts w:hint="eastAsia"/>
                    </w:rPr>
                    <w:t>公司从工艺设计和采购产品时已考虑了产品的环保性（包括原材料），生产过程中，严格按照环保等管理制度实施，控制好辅助材料的用量，避免浪费，生命周期终了时钢材还可以回收再利用。</w:t>
                  </w:r>
                </w:p>
              </w:tc>
              <w:tc>
                <w:tcPr>
                  <w:tcW w:w="1292" w:type="dxa"/>
                  <w:vAlign w:val="top"/>
                </w:tcPr>
                <w:p>
                  <w:pPr>
                    <w:shd w:val="clear" w:color="auto" w:fill="EBF1DE" w:themeFill="accent3" w:themeFillTint="32"/>
                    <w:jc w:val="left"/>
                  </w:pPr>
                  <w:r>
                    <w:rPr>
                      <w:rFonts w:hint="eastAsia"/>
                      <w:lang w:val="en-US" w:eastAsia="zh-CN"/>
                    </w:rPr>
                    <w:t>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废水排放</w:t>
                  </w:r>
                </w:p>
              </w:tc>
              <w:tc>
                <w:tcPr>
                  <w:tcW w:w="5713" w:type="dxa"/>
                  <w:vAlign w:val="top"/>
                </w:tcPr>
                <w:p>
                  <w:pPr>
                    <w:shd w:val="clear" w:color="auto" w:fill="EBF1DE" w:themeFill="accent3" w:themeFillTint="32"/>
                    <w:jc w:val="left"/>
                  </w:pPr>
                  <w:r>
                    <w:rPr>
                      <w:rFonts w:hint="eastAsia"/>
                    </w:rPr>
                    <w:t>处理车间生产过程产生废水按《处理涂胶车间废水排放技术规范》</w:t>
                  </w:r>
                  <w:r>
                    <w:rPr>
                      <w:rFonts w:hint="eastAsia"/>
                      <w:lang w:val="en-US" w:eastAsia="zh-CN"/>
                    </w:rPr>
                    <w:t>控制</w:t>
                  </w:r>
                </w:p>
              </w:tc>
              <w:tc>
                <w:tcPr>
                  <w:tcW w:w="1292" w:type="dxa"/>
                  <w:vAlign w:val="top"/>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废气排放</w:t>
                  </w:r>
                </w:p>
              </w:tc>
              <w:tc>
                <w:tcPr>
                  <w:tcW w:w="5713" w:type="dxa"/>
                  <w:vAlign w:val="top"/>
                </w:tcPr>
                <w:p>
                  <w:pPr>
                    <w:shd w:val="clear" w:color="auto" w:fill="EBF1DE" w:themeFill="accent3" w:themeFillTint="32"/>
                    <w:jc w:val="left"/>
                  </w:pPr>
                  <w:r>
                    <w:rPr>
                      <w:rFonts w:hint="eastAsia"/>
                    </w:rPr>
                    <w:t>主要采用环保抽风机、布袋除尘、UV光解后15米高空排放。</w:t>
                  </w:r>
                </w:p>
              </w:tc>
              <w:tc>
                <w:tcPr>
                  <w:tcW w:w="1292" w:type="dxa"/>
                  <w:vAlign w:val="top"/>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噪声排放</w:t>
                  </w:r>
                </w:p>
              </w:tc>
              <w:tc>
                <w:tcPr>
                  <w:tcW w:w="5713" w:type="dxa"/>
                  <w:vAlign w:val="top"/>
                </w:tcPr>
                <w:p>
                  <w:pPr>
                    <w:shd w:val="clear" w:color="auto" w:fill="EBF1DE" w:themeFill="accent3" w:themeFillTint="32"/>
                    <w:jc w:val="left"/>
                  </w:pPr>
                  <w:r>
                    <w:rPr>
                      <w:rFonts w:hint="eastAsia"/>
                    </w:rPr>
                    <w:t>生产过程设备噪声，采取密闭厂房内操作，车间窗户采用双层玻璃，新设备选用低噪声的设备和老设备采用消声罩处理，同时加强设备的检查和维保，确保机械设备在正常工况下运行，噪声满足要求。</w:t>
                  </w:r>
                </w:p>
              </w:tc>
              <w:tc>
                <w:tcPr>
                  <w:tcW w:w="1292" w:type="dxa"/>
                  <w:vAlign w:val="top"/>
                </w:tcPr>
                <w:p>
                  <w:pPr>
                    <w:shd w:val="clear" w:color="auto" w:fill="EBF1DE" w:themeFill="accent3" w:themeFillTint="32"/>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固废排放</w:t>
                  </w:r>
                </w:p>
              </w:tc>
              <w:tc>
                <w:tcPr>
                  <w:tcW w:w="5713" w:type="dxa"/>
                  <w:vAlign w:val="top"/>
                </w:tcPr>
                <w:p>
                  <w:pPr>
                    <w:shd w:val="clear" w:color="auto" w:fill="EBF1DE" w:themeFill="accent3" w:themeFillTint="32"/>
                    <w:jc w:val="left"/>
                  </w:pPr>
                  <w:r>
                    <w:rPr>
                      <w:rFonts w:hint="eastAsia"/>
                    </w:rPr>
                    <w:t>固体废物主要有生产固废、生活垃圾、危险废物。项目生产中产生的边角料及不合格产品回收利用，钢板边角料外售废品站，废包装材料由厂家回收处理。废棉纱收集后送至垃圾填埋场填埋。生活垃圾委托环卫部门处置;废机油、废乳化油与危废资质单位签订处置协议。</w:t>
                  </w:r>
                </w:p>
              </w:tc>
              <w:tc>
                <w:tcPr>
                  <w:tcW w:w="1292" w:type="dxa"/>
                  <w:vAlign w:val="top"/>
                </w:tcPr>
                <w:p>
                  <w:pPr>
                    <w:shd w:val="clear" w:color="auto" w:fill="EBF1DE" w:themeFill="accent3" w:themeFillTint="32"/>
                    <w:jc w:val="left"/>
                  </w:pPr>
                  <w:r>
                    <w:rPr>
                      <w:rFonts w:hint="eastAsia"/>
                      <w:lang w:val="en-US" w:eastAsia="zh-CN"/>
                    </w:rPr>
                    <w:t>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粉尘排放</w:t>
                  </w:r>
                </w:p>
              </w:tc>
              <w:tc>
                <w:tcPr>
                  <w:tcW w:w="5713" w:type="dxa"/>
                  <w:vAlign w:val="top"/>
                </w:tcPr>
                <w:p>
                  <w:pPr>
                    <w:shd w:val="clear" w:color="auto" w:fill="EBF1DE" w:themeFill="accent3" w:themeFillTint="32"/>
                    <w:jc w:val="left"/>
                  </w:pPr>
                  <w:r>
                    <w:rPr>
                      <w:rFonts w:hint="eastAsia"/>
                      <w:lang w:val="en-US" w:eastAsia="zh-CN"/>
                    </w:rPr>
                    <w:t>无</w:t>
                  </w:r>
                </w:p>
              </w:tc>
              <w:tc>
                <w:tcPr>
                  <w:tcW w:w="1292"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火灾</w:t>
                  </w:r>
                </w:p>
              </w:tc>
              <w:tc>
                <w:tcPr>
                  <w:tcW w:w="5713" w:type="dxa"/>
                  <w:vAlign w:val="top"/>
                </w:tcPr>
                <w:p>
                  <w:pPr>
                    <w:shd w:val="clear" w:color="auto" w:fill="EBF1DE" w:themeFill="accent3" w:themeFillTint="32"/>
                    <w:jc w:val="left"/>
                  </w:pPr>
                  <w:r>
                    <w:rPr>
                      <w:rFonts w:hint="eastAsia"/>
                    </w:rPr>
                    <w:t>公司生产车间和办公区域配备了消防栓、灭火器，但是生产部硫化车间灭火器存放区没有摆放灭火器，不符合应急准备的要求。</w:t>
                  </w:r>
                </w:p>
              </w:tc>
              <w:tc>
                <w:tcPr>
                  <w:tcW w:w="1292" w:type="dxa"/>
                  <w:vAlign w:val="top"/>
                </w:tcPr>
                <w:p>
                  <w:pPr>
                    <w:shd w:val="clear" w:color="auto" w:fill="EBF1DE" w:themeFill="accent3" w:themeFillTint="32"/>
                    <w:jc w:val="left"/>
                  </w:pPr>
                  <w:r>
                    <w:rPr>
                      <w:rFonts w:hint="eastAsia"/>
                      <w:lang w:val="en-US" w:eastAsia="zh-CN"/>
                    </w:rPr>
                    <w:t>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shd w:val="clear" w:color="auto" w:fill="EBF1DE" w:themeFill="accent3" w:themeFillTint="32"/>
                    <w:jc w:val="left"/>
                  </w:pPr>
                  <w:r>
                    <w:rPr>
                      <w:rFonts w:hint="eastAsia"/>
                    </w:rPr>
                    <w:t>其他</w:t>
                  </w:r>
                </w:p>
              </w:tc>
              <w:tc>
                <w:tcPr>
                  <w:tcW w:w="5713" w:type="dxa"/>
                  <w:vAlign w:val="top"/>
                </w:tcPr>
                <w:p>
                  <w:pPr>
                    <w:shd w:val="clear" w:color="auto" w:fill="EBF1DE" w:themeFill="accent3" w:themeFillTint="32"/>
                    <w:jc w:val="left"/>
                  </w:pPr>
                </w:p>
              </w:tc>
              <w:tc>
                <w:tcPr>
                  <w:tcW w:w="1292"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auto"/>
              </w:rPr>
            </w:pPr>
            <w:r>
              <w:rPr>
                <w:rFonts w:hint="eastAsia"/>
                <w:color w:val="auto"/>
              </w:rPr>
              <w:t>于2022年6月 30日进行了的演练；并总结了预案的可行性和有效性。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《环境监测报告》编号：QYHB2205008</w:t>
            </w:r>
            <w:r>
              <w:rPr>
                <w:rFonts w:hint="eastAsia"/>
                <w:lang w:eastAsia="zh-CN"/>
              </w:rPr>
              <w:t>、0YHB2205002</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通过年度策划于2022.9.28</w:t>
            </w:r>
            <w:r>
              <w:rPr>
                <w:rFonts w:hint="eastAsia"/>
                <w:lang w:val="en-US" w:eastAsia="zh-CN"/>
              </w:rPr>
              <w:t>-</w:t>
            </w:r>
            <w:r>
              <w:rPr>
                <w:rFonts w:hint="eastAsia"/>
              </w:rPr>
              <w:t>29实施了环境管理体系内部审核，对环境管理体系的符合性和有效性进行了审核。内审发现的项不符合在本次审核前已完成整改。在公司内完成的这些审核是可信的。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322D3251"/>
    <w:rsid w:val="414C62F9"/>
    <w:rsid w:val="6AE46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2022-10-17T16:10:58Z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