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077"/>
        <w:gridCol w:w="59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河北鸿华工程项目管理有限公司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91130104592461811Y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河北鸿华工程项目管理有限公司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Q：项目管理咨询，招标代理，企业管理咨询</w:t>
            </w:r>
          </w:p>
          <w:p>
            <w:pPr>
              <w:snapToGrid w:val="0"/>
              <w:spacing w:line="0" w:lineRule="atLeast"/>
              <w:jc w:val="left"/>
              <w:rPr>
                <w:sz w:val="22"/>
                <w:szCs w:val="22"/>
              </w:rPr>
            </w:pPr>
            <w:r>
              <w:rPr>
                <w:sz w:val="22"/>
                <w:szCs w:val="22"/>
              </w:rPr>
              <w:t>E：项目管理咨询，招标代理，企业管理咨询所涉及场所的相关环境管理活动</w:t>
            </w:r>
          </w:p>
          <w:p>
            <w:pPr>
              <w:snapToGrid w:val="0"/>
              <w:spacing w:line="0" w:lineRule="atLeast"/>
              <w:jc w:val="left"/>
              <w:rPr>
                <w:sz w:val="22"/>
                <w:szCs w:val="22"/>
              </w:rPr>
            </w:pPr>
            <w:r>
              <w:rPr>
                <w:sz w:val="22"/>
                <w:szCs w:val="22"/>
              </w:rPr>
              <w:t>O：项目管理咨询，招标代理，企业管理咨询所涉及场所的相关职业健康安全管理活动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河北省石家庄市桥西区中华南大街新石南路交口汇龙国际1号楼1124室</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河北省石家庄市桥西区中华南大街新石南路交口汇龙国际1号楼1124室</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p>
        </w:tc>
        <w:tc>
          <w:tcPr>
            <w:tcW w:w="3373" w:type="dxa"/>
            <w:gridSpan w:val="2"/>
          </w:tcPr>
          <w:p>
            <w:pPr>
              <w:snapToGrid w:val="0"/>
              <w:spacing w:line="0" w:lineRule="atLeast"/>
              <w:jc w:val="left"/>
              <w:rPr>
                <w:sz w:val="22"/>
                <w:szCs w:val="22"/>
              </w:rPr>
            </w:pPr>
            <w:r>
              <w:rPr>
                <w:rFonts w:hint="eastAsia"/>
                <w:sz w:val="22"/>
                <w:szCs w:val="22"/>
              </w:rPr>
              <w:t>Hebei Honghua Engineering Project Management Co., Ltd</w:t>
            </w:r>
          </w:p>
        </w:tc>
        <w:tc>
          <w:tcPr>
            <w:tcW w:w="1077" w:type="dxa"/>
          </w:tcPr>
          <w:p>
            <w:pPr>
              <w:snapToGrid w:val="0"/>
              <w:spacing w:line="0" w:lineRule="atLeast"/>
              <w:jc w:val="left"/>
              <w:rPr>
                <w:sz w:val="22"/>
                <w:szCs w:val="22"/>
              </w:rPr>
            </w:pPr>
            <w:r>
              <w:rPr>
                <w:rFonts w:hint="eastAsia"/>
                <w:sz w:val="22"/>
                <w:szCs w:val="22"/>
              </w:rPr>
              <w:t>QMS</w:t>
            </w:r>
          </w:p>
        </w:tc>
        <w:tc>
          <w:tcPr>
            <w:tcW w:w="3936" w:type="dxa"/>
            <w:gridSpan w:val="3"/>
          </w:tcPr>
          <w:p>
            <w:pPr>
              <w:snapToGrid w:val="0"/>
              <w:spacing w:line="0" w:lineRule="atLeast"/>
              <w:jc w:val="left"/>
              <w:rPr>
                <w:sz w:val="21"/>
                <w:szCs w:val="16"/>
              </w:rPr>
            </w:pPr>
            <w:r>
              <w:rPr>
                <w:rFonts w:hint="eastAsia"/>
                <w:sz w:val="21"/>
                <w:szCs w:val="16"/>
              </w:rPr>
              <w:t>Project management consulting, bidding agency, enterprise management consulting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3" w:type="dxa"/>
            <w:gridSpan w:val="2"/>
          </w:tcPr>
          <w:p>
            <w:pPr>
              <w:snapToGrid w:val="0"/>
              <w:spacing w:line="0" w:lineRule="atLeast"/>
              <w:jc w:val="left"/>
              <w:rPr>
                <w:sz w:val="22"/>
                <w:szCs w:val="22"/>
              </w:rPr>
            </w:pPr>
            <w:r>
              <w:rPr>
                <w:rFonts w:hint="eastAsia"/>
                <w:sz w:val="22"/>
                <w:szCs w:val="22"/>
              </w:rPr>
              <w:t>Room 1124, Building 1, Huilong International, Intersection, Xinshi South Road, Zhonghua South Street, Qiaoxi District, Shijiazhuang, Hebei</w:t>
            </w:r>
          </w:p>
        </w:tc>
        <w:tc>
          <w:tcPr>
            <w:tcW w:w="1077" w:type="dxa"/>
          </w:tcPr>
          <w:p>
            <w:pPr>
              <w:snapToGrid w:val="0"/>
              <w:spacing w:line="0" w:lineRule="atLeast"/>
              <w:jc w:val="left"/>
              <w:rPr>
                <w:sz w:val="22"/>
                <w:szCs w:val="22"/>
              </w:rPr>
            </w:pPr>
            <w:r>
              <w:rPr>
                <w:rFonts w:hint="eastAsia"/>
                <w:sz w:val="22"/>
                <w:szCs w:val="22"/>
              </w:rPr>
              <w:t>EMS</w:t>
            </w:r>
          </w:p>
        </w:tc>
        <w:tc>
          <w:tcPr>
            <w:tcW w:w="3936" w:type="dxa"/>
            <w:gridSpan w:val="3"/>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environmental management activities of the sites involved in project management consulting, bidding agency and enterprise management consulting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p>
        </w:tc>
        <w:tc>
          <w:tcPr>
            <w:tcW w:w="3373" w:type="dxa"/>
            <w:gridSpan w:val="2"/>
          </w:tcPr>
          <w:p>
            <w:pPr>
              <w:snapToGrid w:val="0"/>
              <w:spacing w:line="0" w:lineRule="atLeast"/>
              <w:jc w:val="left"/>
              <w:rPr>
                <w:sz w:val="22"/>
                <w:szCs w:val="22"/>
              </w:rPr>
            </w:pPr>
            <w:r>
              <w:rPr>
                <w:rFonts w:hint="eastAsia"/>
                <w:sz w:val="22"/>
                <w:szCs w:val="22"/>
              </w:rPr>
              <w:t>Room 1124, Building 1, Huilong International, Intersection, Xinshi South Road, Zhonghua South Street, Qiaoxi District, Shijiazhuang, Hebei</w:t>
            </w:r>
          </w:p>
        </w:tc>
        <w:tc>
          <w:tcPr>
            <w:tcW w:w="1077" w:type="dxa"/>
          </w:tcPr>
          <w:p>
            <w:pPr>
              <w:snapToGrid w:val="0"/>
              <w:spacing w:line="0" w:lineRule="atLeast"/>
              <w:jc w:val="left"/>
              <w:rPr>
                <w:sz w:val="22"/>
                <w:szCs w:val="22"/>
              </w:rPr>
            </w:pPr>
            <w:r>
              <w:rPr>
                <w:rFonts w:hint="eastAsia"/>
                <w:sz w:val="22"/>
                <w:szCs w:val="22"/>
              </w:rPr>
              <w:t>OHSMS</w:t>
            </w:r>
          </w:p>
        </w:tc>
        <w:tc>
          <w:tcPr>
            <w:tcW w:w="3936" w:type="dxa"/>
            <w:gridSpan w:val="3"/>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occupational health and safety management activities in the places involved in project management consulting, bidding agency and enterprise management consulting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cs="Arial"/>
                <w:b/>
                <w:bCs/>
                <w:sz w:val="22"/>
                <w:szCs w:val="16"/>
              </w:rPr>
            </w:pPr>
            <w:r>
              <w:rPr>
                <w:rFonts w:hint="eastAsia"/>
                <w:sz w:val="22"/>
                <w:szCs w:val="18"/>
              </w:rPr>
              <w:t>审核组长签字</w:t>
            </w:r>
          </w:p>
        </w:tc>
        <w:tc>
          <w:tcPr>
            <w:tcW w:w="3346" w:type="dxa"/>
            <w:gridSpan w:val="2"/>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5886450" cy="8862695"/>
            <wp:effectExtent l="0" t="0" r="6350" b="1905"/>
            <wp:docPr id="1" name="图片 1" descr="新文档 2022-10-12 16.02.08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2 16.02.08_12"/>
                    <pic:cNvPicPr>
                      <a:picLocks noChangeAspect="1"/>
                    </pic:cNvPicPr>
                  </pic:nvPicPr>
                  <pic:blipFill>
                    <a:blip r:embed="rId5"/>
                    <a:stretch>
                      <a:fillRect/>
                    </a:stretch>
                  </pic:blipFill>
                  <pic:spPr>
                    <a:xfrm>
                      <a:off x="0" y="0"/>
                      <a:ext cx="5886450" cy="886269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D644970"/>
    <w:rsid w:val="48133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2022-10-12T08:17:18Z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