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5560" cy="9497695"/>
            <wp:effectExtent l="0" t="0" r="2540" b="1905"/>
            <wp:docPr id="1" name="图片 1" descr="新文档 2022-10-12 16.02.0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2 16.02.08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949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4925" cy="9377680"/>
            <wp:effectExtent l="0" t="0" r="3175" b="7620"/>
            <wp:docPr id="2" name="图片 2" descr="新文档 2022-10-12 16.02.0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0-12 16.02.08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3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329"/>
        <w:gridCol w:w="2267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329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河北鸿华工程项目管理有限公司</w:t>
            </w:r>
            <w:bookmarkEnd w:id="11"/>
          </w:p>
        </w:tc>
        <w:tc>
          <w:tcPr>
            <w:tcW w:w="22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丁启帆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3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现场抽查业务部合同，“</w:t>
            </w:r>
            <w:r>
              <w:rPr>
                <w:rFonts w:hint="eastAsia" w:ascii="方正仿宋简体" w:eastAsia="方正仿宋简体"/>
                <w:b/>
              </w:rPr>
              <w:t>甲方：沙河市安全实业有限公司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项目内容：2022年工业企业节能诊断公益服务合作协议书（项目管理咨询）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签订日期为2022年8月15日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未提供对该合同进行评审并对客户施加环境、职业健康安全方面影响的记录。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19106ED"/>
    <w:rsid w:val="6A2A7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2022-10-12T08:18:25Z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