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河北安安消防设施检测技术服务有限公司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朱晓丽</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34.06.00</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河北安安消防设施检测技术服务有限公司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20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廊坊市广阳区华夏铂宫2-1-201</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065000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廊坊市广阳区西昌路金昭大厦A座604室</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065000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盛东彪</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15532680119</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安树杰</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赵海涛</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消防安全技术咨询服务</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34.06.00</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2019-05-13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