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江西省高峰碳酸钙有限公司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0668-2020-EO-2022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江西省宜春市高安市工业园（相城镇会上行政村）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熊志明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江西省宜春市高安市工业园（相城镇会上行政村）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吴常青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0795-5288016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13870575803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E：工业碳酸钙的生产所涉及场所相关的环境管理活动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O：工业碳酸钙的生产所涉及场所相关的职业健康安全管理活动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Q：工业碳酸钙的生产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E：12.01.03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Q：12.01.03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E:45,O:45,Q:45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tbl>
            <w:tblPr>
              <w:tblStyle w:val="7"/>
              <w:tblpPr w:leftFromText="180" w:rightFromText="180" w:vertAnchor="text" w:horzAnchor="page" w:tblpX="142" w:tblpY="392"/>
              <w:tblOverlap w:val="never"/>
              <w:tblW w:w="86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6"/>
              <w:gridCol w:w="4841"/>
              <w:gridCol w:w="28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6" w:type="dxa"/>
                  <w:shd w:val="clear" w:color="auto" w:fill="auto"/>
                  <w:vAlign w:val="center"/>
                </w:tcPr>
                <w:p>
                  <w:pPr>
                    <w:pStyle w:val="1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12" w:lineRule="auto"/>
                    <w:jc w:val="both"/>
                    <w:textAlignment w:val="auto"/>
                    <w:rPr>
                      <w:rFonts w:hint="default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管理层、</w:t>
                  </w:r>
                </w:p>
                <w:p>
                  <w:pPr>
                    <w:pStyle w:val="1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12" w:lineRule="auto"/>
                    <w:jc w:val="both"/>
                    <w:textAlignment w:val="auto"/>
                    <w:rPr>
                      <w:color w:val="auto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安全事务代表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理解组织及其环境、理解相关方的需求和期望、确定管理体系的范围、管理体系及其过程、应对风险和机遇的措施、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领导作用、管理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方针、目标及其实现的策划、组织的岗位、职责和权限、资源、沟通/信息交流、管理评审、改进、持续改进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240" w:lineRule="auto"/>
                    <w:ind w:left="0" w:leftChars="0" w:firstLine="0" w:firstLineChars="0"/>
                    <w:jc w:val="both"/>
                    <w:textAlignment w:val="auto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体系变更、删减确认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240" w:lineRule="auto"/>
                    <w:ind w:left="0" w:leftChars="0" w:firstLine="0" w:firstLineChars="0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协商与参与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</w:rPr>
                    <w:t>对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  <w:lang w:val="en-US" w:eastAsia="zh-CN"/>
                    </w:rPr>
                    <w:t>上次审核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</w:rPr>
                    <w:t>问题整改情况的确认；事故事件及起处理情况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</w:rPr>
                    <w:t>环境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</w:rPr>
                    <w:t>安全监测情况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/>
                    <w:jc w:val="both"/>
                    <w:textAlignment w:val="auto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  <w:lang w:val="en-US" w:eastAsia="zh-CN"/>
                    </w:rPr>
                    <w:t>证书标志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u w:val="none"/>
                    </w:rPr>
                    <w:t>使用情况等</w:t>
                  </w:r>
                </w:p>
              </w:tc>
              <w:tc>
                <w:tcPr>
                  <w:tcW w:w="28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Q/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E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/O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4.1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4.2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4.3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4.4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7.1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7.4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9.3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10.1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10.3</w:t>
                  </w:r>
                </w:p>
                <w:p>
                  <w:pPr>
                    <w:pStyle w:val="2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240" w:lineRule="auto"/>
                    <w:ind w:left="0" w:leftChars="0" w:firstLine="0" w:firstLineChars="0"/>
                    <w:jc w:val="both"/>
                    <w:textAlignment w:val="auto"/>
                    <w:rPr>
                      <w:rFonts w:hint="default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Q:6.3、8.3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O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5.4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6" w:type="dxa"/>
                  <w:shd w:val="clear" w:color="auto" w:fill="auto"/>
                  <w:vAlign w:val="center"/>
                </w:tcPr>
                <w:p>
                  <w:pPr>
                    <w:pStyle w:val="1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12" w:lineRule="auto"/>
                    <w:jc w:val="both"/>
                    <w:textAlignment w:val="auto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办公室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组织的岗位、职责和权限、目标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及控制的策划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、环境因素/危险源的识别与评价、措施的策划、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人员、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能力、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意识、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成文信息、组织的知识、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运行策划和控制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应急准备和响应、监视、测量、分析和评价、内部审核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改进</w:t>
                  </w:r>
                </w:p>
              </w:tc>
              <w:tc>
                <w:tcPr>
                  <w:tcW w:w="28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default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6.2、7.1.2、7.1.6、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7.2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7.3、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7.5、9.1.1、9.1.3、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9.2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10.2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ascii="宋体" w:hAnsi="宋体"/>
                      <w:b/>
                      <w:bCs/>
                      <w:color w:val="auto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E/O: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6.2、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7.2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7.3、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7.5、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9.1.1、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9.2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6" w:type="dxa"/>
                  <w:shd w:val="clear" w:color="auto" w:fill="auto"/>
                  <w:vAlign w:val="center"/>
                </w:tcPr>
                <w:p>
                  <w:pPr>
                    <w:pStyle w:val="1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default" w:ascii="宋体" w:hAnsi="宋体" w:eastAsia="宋体" w:cs="Times New Roman"/>
                      <w:b/>
                      <w:bCs/>
                      <w:color w:val="auto"/>
                      <w:spacing w:val="1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销售部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default" w:ascii="宋体" w:hAnsi="宋体" w:eastAsia="宋体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组织的岗位、职责和权限、目标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顾客要求、顾客财产、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交付后的活动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顾客满意、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环境因素/危险源的识别与评价、措施的策划、运行策划和控制、应急准备和响应</w:t>
                  </w:r>
                </w:p>
              </w:tc>
              <w:tc>
                <w:tcPr>
                  <w:tcW w:w="28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default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8.2、8.5.3、</w:t>
                  </w:r>
                  <w:r>
                    <w:rPr>
                      <w:rFonts w:ascii="宋体" w:hAnsi="宋体" w:cs="Arial"/>
                      <w:color w:val="auto"/>
                      <w:sz w:val="21"/>
                      <w:szCs w:val="21"/>
                    </w:rPr>
                    <w:t>8.5.5</w:t>
                  </w:r>
                  <w:r>
                    <w:rPr>
                      <w:rFonts w:hint="eastAsia" w:ascii="宋体" w:hAnsi="宋体" w:cs="Arial"/>
                      <w:color w:val="auto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9.1.2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E/O: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312" w:lineRule="auto"/>
                    <w:jc w:val="both"/>
                    <w:textAlignment w:val="auto"/>
                    <w:rPr>
                      <w:rFonts w:hint="default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生产部</w:t>
                  </w:r>
                  <w:r>
                    <w:rPr>
                      <w:rFonts w:hint="eastAsia" w:ascii="宋体" w:hAnsi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及现场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组织的岗位、职责和权限、目标、环境因素/危险源的识别与评价、措施的策划、合规义务、合规性评价、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基础设施、过程环境、运行策划、生产过程控制、监测分析、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运行策划和控制、应急准备和响应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、改进</w:t>
                  </w:r>
                </w:p>
              </w:tc>
              <w:tc>
                <w:tcPr>
                  <w:tcW w:w="28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Q:5.3、6.2、7.1.3、7.1.4、8.1、8.5、10.2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E/O:5.3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6.1.3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9.1.2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10.2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6" w:type="dxa"/>
                  <w:shd w:val="clear" w:color="auto" w:fill="auto"/>
                  <w:vAlign w:val="center"/>
                </w:tcPr>
                <w:p>
                  <w:pPr>
                    <w:pStyle w:val="16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312" w:lineRule="auto"/>
                    <w:jc w:val="both"/>
                    <w:textAlignment w:val="auto"/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pacing w:val="0"/>
                      <w:kern w:val="2"/>
                      <w:sz w:val="21"/>
                      <w:szCs w:val="21"/>
                      <w:lang w:val="en-US" w:eastAsia="zh-CN" w:bidi="ar-SA"/>
                    </w:rPr>
                    <w:t>质检部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组织的岗位、职责和权限、目标、环境因素/危险源的识别与评价、措施的策划、运行策划和控制、应急准备和响应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监测装置、放行、不合格品控制</w:t>
                  </w:r>
                </w:p>
              </w:tc>
              <w:tc>
                <w:tcPr>
                  <w:tcW w:w="28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default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Q:5.3、6.2、7.1.5、8.6、8.7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E/O:5.3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99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default" w:ascii="宋体" w:hAnsi="宋体" w:eastAsia="楷体_GB2312" w:cs="Times New Roman"/>
                      <w:b/>
                      <w:bCs/>
                      <w:color w:val="auto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/>
                    </w:rPr>
                    <w:t>采购部</w:t>
                  </w:r>
                </w:p>
              </w:tc>
              <w:tc>
                <w:tcPr>
                  <w:tcW w:w="484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709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ind w:right="57" w:rightChars="0"/>
                    <w:jc w:val="both"/>
                    <w:textAlignment w:val="auto"/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B指导A审核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highlight w:val="yellow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组织的岗位、职责和权限、目标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外部提供控制、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环境因素/危险源的识别与评价、措施的策划、运行策划和控制、应急准备和响应</w:t>
                  </w:r>
                </w:p>
              </w:tc>
              <w:tc>
                <w:tcPr>
                  <w:tcW w:w="28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hint="default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Q: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8.4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jc w:val="both"/>
                    <w:textAlignment w:val="auto"/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highlight w:val="yellow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val="en-US" w:eastAsia="zh-CN"/>
                    </w:rPr>
                    <w:t>E/O: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5.3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6.2</w:t>
                  </w:r>
                  <w:r>
                    <w:rPr>
                      <w:rFonts w:hint="eastAsia" w:ascii="宋体" w:hAnsi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6.1.2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6.1.4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8.1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Arial"/>
                      <w:color w:val="auto"/>
                      <w:spacing w:val="-6"/>
                      <w:sz w:val="21"/>
                      <w:szCs w:val="21"/>
                    </w:rPr>
                    <w:t>8.2</w:t>
                  </w:r>
                </w:p>
              </w:tc>
            </w:tr>
          </w:tbl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eastAsia="zh-CN"/>
              </w:rPr>
              <w:t>审核交流建议的改进情况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75EA03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1768</Words>
  <Characters>1943</Characters>
  <Lines>16</Lines>
  <Paragraphs>4</Paragraphs>
  <TotalTime>6</TotalTime>
  <ScaleCrop>false</ScaleCrop>
  <LinksUpToDate>false</LinksUpToDate>
  <CharactersWithSpaces>2452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2022-10-19T05:53:53Z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