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江西省高峰碳酸钙有限公司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原材料采购→进货检验→装窑、高温烧制→消化→石灰乳→碳化→离心分离→干燥→筛粉→包装→成品入库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关键过程：煅烧、消化、碳化，制定工艺文件；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特殊过程：煅烧，进行特殊过程确认。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普通工业沉淀碳酸钙HG/T2226—201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PH、白度、挥发物、沉降体积、细度和吸油值等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53975</wp:posOffset>
                  </wp:positionV>
                  <wp:extent cx="934085" cy="731520"/>
                  <wp:effectExtent l="0" t="0" r="0" b="0"/>
                  <wp:wrapNone/>
                  <wp:docPr id="8" name="图片 8" descr="吴勇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吴勇清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EADA9">
                                  <a:alpha val="100000"/>
                                </a:srgbClr>
                              </a:clrFrom>
                              <a:clrTo>
                                <a:srgbClr val="AEADA9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149225</wp:posOffset>
                  </wp:positionV>
                  <wp:extent cx="749935" cy="452120"/>
                  <wp:effectExtent l="0" t="0" r="12065" b="5080"/>
                  <wp:wrapNone/>
                  <wp:docPr id="1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江西省高峰碳酸钙有限公司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原材料采购→进货检验→装窑、高温烧制→消化→石灰乳→碳化→离心分离→干燥→筛粉→包装→成品入库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潜在火灾、粉尘</w:t>
            </w:r>
            <w:r>
              <w:rPr>
                <w:rFonts w:hint="eastAsia"/>
                <w:b/>
                <w:sz w:val="20"/>
                <w:lang w:val="en-US" w:eastAsia="zh-CN"/>
              </w:rPr>
              <w:t>/废气</w:t>
            </w:r>
            <w:r>
              <w:rPr>
                <w:rFonts w:hint="eastAsia"/>
                <w:b/>
                <w:sz w:val="20"/>
              </w:rPr>
              <w:t>排放、噪声、固废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制定了管理方案，运行控制。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环境空气质量标准GB3095-2012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561975</wp:posOffset>
                  </wp:positionV>
                  <wp:extent cx="934085" cy="731520"/>
                  <wp:effectExtent l="0" t="0" r="0" b="0"/>
                  <wp:wrapNone/>
                  <wp:docPr id="7" name="图片 7" descr="吴勇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吴勇清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EADA9">
                                  <a:alpha val="100000"/>
                                </a:srgbClr>
                              </a:clrFrom>
                              <a:clrTo>
                                <a:srgbClr val="AEADA9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149225</wp:posOffset>
                  </wp:positionV>
                  <wp:extent cx="749935" cy="452120"/>
                  <wp:effectExtent l="0" t="0" r="12065" b="5080"/>
                  <wp:wrapNone/>
                  <wp:docPr id="4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江西省高峰碳酸钙有限公司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吴勇清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原材料采购→进货检验→装窑、高温烧制→消化→石灰乳→碳化→离心分离→干燥→筛粉→包装→成品入库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机械伤害、触电、火灾、职业病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制定了管理方案，运行控制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生产安全事故报告和调查处理条例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特种设备安全监察条例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三年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41275</wp:posOffset>
                  </wp:positionV>
                  <wp:extent cx="934085" cy="731520"/>
                  <wp:effectExtent l="0" t="0" r="0" b="0"/>
                  <wp:wrapNone/>
                  <wp:docPr id="9" name="图片 9" descr="吴勇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吴勇清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EADA9">
                                  <a:alpha val="100000"/>
                                </a:srgbClr>
                              </a:clrFrom>
                              <a:clrTo>
                                <a:srgbClr val="AEADA9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149225</wp:posOffset>
                  </wp:positionV>
                  <wp:extent cx="749935" cy="452120"/>
                  <wp:effectExtent l="0" t="0" r="12065" b="5080"/>
                  <wp:wrapNone/>
                  <wp:docPr id="6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B212B74"/>
    <w:rsid w:val="57AA0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869</Words>
  <Characters>1000</Characters>
  <Lines>2</Lines>
  <Paragraphs>1</Paragraphs>
  <TotalTime>1</TotalTime>
  <ScaleCrop>false</ScaleCrop>
  <LinksUpToDate>false</LinksUpToDate>
  <CharactersWithSpaces>1003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2022-10-19T05:54:23Z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