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四川润杰物业管理有限公司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129540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业务洽谈→合同评审→签订合同→物业管理→检验→顾客满意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物业管理服务，服务态度，沟通，顾客满意度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四川省物业管理条例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城市生活垃圾管理办法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288925</wp:posOffset>
                  </wp:positionV>
                  <wp:extent cx="525780" cy="281940"/>
                  <wp:effectExtent l="0" t="0" r="7620" b="7620"/>
                  <wp:wrapNone/>
                  <wp:docPr id="23" name="图片 23" descr="61d96b79c831aa12c565ea157e3f6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61d96b79c831aa12c565ea157e3f6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168275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2022年10月23日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6694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2022-10-24T02:23:32Z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