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成都恒铁机械设备有限公司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0810-2021-Q-2022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成都市武侯区聚龙路68号1栋10层24号</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钟毅</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四川省成都市金牛区五块石蓝光中央天地1号楼816</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郑福林</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15283789375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15283789375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GB/T19001-2016/ISO9001:2015</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资质许可范围内施工劳务</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35.11.00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highlight w:val="yellow"/>
              </w:rPr>
            </w:pPr>
            <w:r>
              <w:rPr>
                <w:rFonts w:hint="eastAsia"/>
                <w:bCs/>
                <w:sz w:val="24"/>
                <w:highlight w:val="none"/>
              </w:rPr>
              <w:t>多场所情况</w:t>
            </w:r>
          </w:p>
        </w:tc>
        <w:tc>
          <w:tcPr>
            <w:tcW w:w="5070" w:type="dxa"/>
            <w:gridSpan w:val="8"/>
            <w:vAlign w:val="center"/>
          </w:tcPr>
          <w:p>
            <w:pPr>
              <w:spacing w:before="156" w:line="240" w:lineRule="exact"/>
              <w:rPr>
                <w:rFonts w:hint="eastAsia" w:ascii="宋体" w:eastAsia="宋体"/>
                <w:bCs/>
                <w:sz w:val="24"/>
                <w:lang w:val="en-US" w:eastAsia="zh-CN"/>
              </w:rPr>
            </w:pPr>
            <w:r>
              <w:rPr>
                <w:rFonts w:hint="eastAsia" w:ascii="宋体"/>
                <w:bCs/>
                <w:sz w:val="24"/>
                <w:lang w:val="en-US" w:eastAsia="zh-CN"/>
              </w:rPr>
              <w:t>1个多场所</w:t>
            </w: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highlight w:val="none"/>
              </w:rPr>
            </w:pPr>
            <w:r>
              <w:rPr>
                <w:rFonts w:hint="eastAsia"/>
                <w:bCs/>
                <w:sz w:val="24"/>
                <w:highlight w:val="none"/>
              </w:rPr>
              <w:t>多场所抽</w:t>
            </w:r>
          </w:p>
          <w:p>
            <w:pPr>
              <w:ind w:firstLine="310"/>
              <w:rPr>
                <w:bCs/>
                <w:sz w:val="24"/>
                <w:highlight w:val="yellow"/>
              </w:rPr>
            </w:pPr>
            <w:r>
              <w:rPr>
                <w:rFonts w:hint="eastAsia"/>
                <w:bCs/>
                <w:sz w:val="24"/>
                <w:highlight w:val="none"/>
              </w:rPr>
              <w:t>样及说明</w:t>
            </w:r>
          </w:p>
        </w:tc>
        <w:tc>
          <w:tcPr>
            <w:tcW w:w="8941" w:type="dxa"/>
            <w:gridSpan w:val="14"/>
            <w:vAlign w:val="center"/>
          </w:tcPr>
          <w:p>
            <w:pPr>
              <w:spacing w:before="156" w:line="240" w:lineRule="exact"/>
              <w:rPr>
                <w:rFonts w:hint="eastAsia" w:ascii="宋体" w:eastAsia="宋体"/>
                <w:bCs/>
                <w:sz w:val="24"/>
                <w:lang w:val="en-US" w:eastAsia="zh-CN"/>
              </w:rPr>
            </w:pPr>
            <w:r>
              <w:rPr>
                <w:rFonts w:hint="eastAsia" w:ascii="宋体"/>
                <w:bCs/>
                <w:sz w:val="24"/>
                <w:lang w:eastAsia="zh-CN"/>
              </w:rPr>
              <w:t>抽中国铁路成都集团有限公司成都工务大型养路机械运用检修段劳务服务，现场正在做检修辅助及配件清洗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75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75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 xml:space="preserve">□增加 </w:t>
            </w:r>
            <w:r>
              <w:rPr>
                <w:rFonts w:hint="eastAsia" w:ascii="宋体" w:hAnsi="宋体"/>
                <w:color w:val="000000"/>
              </w:rPr>
              <w:sym w:font="Wingdings 2" w:char="0052"/>
            </w:r>
            <w:r>
              <w:rPr>
                <w:rFonts w:hint="eastAsia" w:ascii="宋体" w:hAnsi="宋体"/>
                <w:color w:val="000000"/>
              </w:rPr>
              <w:t xml:space="preserve">减少到  </w:t>
            </w:r>
            <w:r>
              <w:rPr>
                <w:rFonts w:hint="eastAsia" w:ascii="宋体" w:hAnsi="宋体" w:eastAsia="宋体" w:cs="Times New Roman"/>
                <w:color w:val="000000"/>
                <w:sz w:val="24"/>
              </w:rPr>
              <w:t xml:space="preserve"> </w:t>
            </w:r>
            <w:r>
              <w:rPr>
                <w:rFonts w:hint="eastAsia" w:ascii="宋体" w:hAnsi="宋体" w:eastAsia="宋体" w:cs="Times New Roman"/>
                <w:color w:val="000000"/>
                <w:sz w:val="24"/>
                <w:lang w:val="en-US" w:eastAsia="zh-CN"/>
              </w:rPr>
              <w:t>75</w:t>
            </w:r>
            <w:r>
              <w:rPr>
                <w:rFonts w:hint="eastAsia" w:ascii="宋体" w:hAnsi="宋体" w:eastAsia="宋体" w:cs="Times New Roman"/>
                <w:color w:val="000000"/>
                <w:sz w:val="24"/>
              </w:rPr>
              <w:t xml:space="preserve"> </w:t>
            </w:r>
            <w:r>
              <w:rPr>
                <w:rFonts w:hint="eastAsia" w:ascii="宋体" w:hAnsi="宋体"/>
                <w:color w:val="000000"/>
              </w:rPr>
              <w:t>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r>
              <w:rPr>
                <w:rFonts w:hint="eastAsia" w:ascii="宋体"/>
                <w:bCs/>
                <w:sz w:val="24"/>
                <w:lang w:eastAsia="zh-CN"/>
              </w:rPr>
              <w:t>抽中国铁路成都集团有限公司成都工务大型养路机械运用检修段劳务服务，现场正在做检修辅助及配件清洗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hint="eastAsia" w:ascii="宋体" w:hAnsi="宋体"/>
                <w:color w:val="000000"/>
                <w:sz w:val="24"/>
              </w:rPr>
            </w:pPr>
            <w:r>
              <w:rPr>
                <w:rFonts w:hint="eastAsia" w:ascii="宋体" w:hAnsi="宋体"/>
                <w:color w:val="000000"/>
                <w:sz w:val="24"/>
              </w:rPr>
              <w:t>审核的部门/条款：</w:t>
            </w:r>
          </w:p>
          <w:p>
            <w:pPr>
              <w:rPr>
                <w:rFonts w:hint="eastAsia" w:ascii="宋体" w:hAnsi="宋体" w:cs="新宋体"/>
                <w:color w:val="auto"/>
                <w:sz w:val="21"/>
                <w:szCs w:val="21"/>
              </w:rPr>
            </w:pPr>
            <w:r>
              <w:rPr>
                <w:rFonts w:hint="eastAsia" w:ascii="宋体" w:hAnsi="宋体" w:cs="新宋体"/>
                <w:color w:val="auto"/>
                <w:sz w:val="21"/>
                <w:szCs w:val="21"/>
              </w:rPr>
              <w:t>管理层:</w:t>
            </w:r>
          </w:p>
          <w:p>
            <w:pPr>
              <w:rPr>
                <w:rFonts w:hint="eastAsia" w:ascii="宋体" w:hAnsi="宋体" w:cs="新宋体"/>
                <w:color w:val="auto"/>
                <w:sz w:val="21"/>
                <w:szCs w:val="21"/>
              </w:rPr>
            </w:pPr>
            <w:r>
              <w:rPr>
                <w:rFonts w:hint="eastAsia" w:ascii="宋体" w:hAnsi="宋体" w:cs="新宋体"/>
                <w:color w:val="auto"/>
                <w:sz w:val="21"/>
                <w:szCs w:val="21"/>
              </w:rPr>
              <w:t>4.1组织及其环境</w:t>
            </w:r>
            <w:r>
              <w:rPr>
                <w:rFonts w:hint="eastAsia" w:ascii="宋体" w:hAnsi="宋体" w:cs="新宋体"/>
                <w:color w:val="auto"/>
                <w:sz w:val="21"/>
                <w:szCs w:val="21"/>
                <w:lang w:eastAsia="zh-CN"/>
              </w:rPr>
              <w:t>；</w:t>
            </w:r>
            <w:r>
              <w:rPr>
                <w:rFonts w:hint="eastAsia" w:ascii="宋体" w:hAnsi="宋体" w:cs="新宋体"/>
                <w:color w:val="auto"/>
                <w:sz w:val="21"/>
                <w:szCs w:val="21"/>
              </w:rPr>
              <w:t>4.2相关方需求与期望</w:t>
            </w:r>
            <w:r>
              <w:rPr>
                <w:rFonts w:hint="eastAsia" w:ascii="宋体" w:hAnsi="宋体" w:cs="新宋体"/>
                <w:color w:val="auto"/>
                <w:sz w:val="21"/>
                <w:szCs w:val="21"/>
                <w:lang w:eastAsia="zh-CN"/>
              </w:rPr>
              <w:t>；</w:t>
            </w:r>
            <w:r>
              <w:rPr>
                <w:rFonts w:hint="eastAsia" w:ascii="宋体" w:hAnsi="宋体" w:cs="新宋体"/>
                <w:color w:val="auto"/>
                <w:sz w:val="21"/>
                <w:szCs w:val="21"/>
              </w:rPr>
              <w:t>4.3确定体系范围</w:t>
            </w:r>
            <w:r>
              <w:rPr>
                <w:rFonts w:hint="eastAsia" w:ascii="宋体" w:hAnsi="宋体" w:cs="新宋体"/>
                <w:color w:val="auto"/>
                <w:sz w:val="21"/>
                <w:szCs w:val="21"/>
                <w:lang w:eastAsia="zh-CN"/>
              </w:rPr>
              <w:t>；</w:t>
            </w:r>
            <w:r>
              <w:rPr>
                <w:rFonts w:hint="eastAsia" w:ascii="宋体" w:hAnsi="宋体" w:cs="新宋体"/>
                <w:color w:val="auto"/>
                <w:sz w:val="21"/>
                <w:szCs w:val="21"/>
              </w:rPr>
              <w:t>4.4体系及其过程</w:t>
            </w:r>
            <w:r>
              <w:rPr>
                <w:rFonts w:hint="eastAsia" w:ascii="宋体" w:hAnsi="宋体" w:cs="新宋体"/>
                <w:color w:val="auto"/>
                <w:sz w:val="21"/>
                <w:szCs w:val="21"/>
                <w:lang w:eastAsia="zh-CN"/>
              </w:rPr>
              <w:t>；</w:t>
            </w:r>
            <w:r>
              <w:rPr>
                <w:rFonts w:hint="eastAsia" w:ascii="宋体" w:hAnsi="宋体" w:cs="新宋体"/>
                <w:color w:val="auto"/>
                <w:sz w:val="21"/>
                <w:szCs w:val="21"/>
              </w:rPr>
              <w:t>5.1领导作用与承诺</w:t>
            </w:r>
            <w:r>
              <w:rPr>
                <w:rFonts w:hint="eastAsia" w:ascii="宋体" w:hAnsi="宋体" w:cs="新宋体"/>
                <w:color w:val="auto"/>
                <w:sz w:val="21"/>
                <w:szCs w:val="21"/>
                <w:lang w:eastAsia="zh-CN"/>
              </w:rPr>
              <w:t>；</w:t>
            </w:r>
            <w:r>
              <w:rPr>
                <w:rFonts w:hint="eastAsia" w:ascii="宋体" w:hAnsi="宋体" w:cs="新宋体"/>
                <w:color w:val="auto"/>
                <w:sz w:val="21"/>
                <w:szCs w:val="21"/>
              </w:rPr>
              <w:t>5.2方针</w:t>
            </w:r>
            <w:r>
              <w:rPr>
                <w:rFonts w:hint="eastAsia" w:ascii="宋体" w:hAnsi="宋体" w:cs="新宋体"/>
                <w:color w:val="auto"/>
                <w:sz w:val="21"/>
                <w:szCs w:val="21"/>
                <w:lang w:eastAsia="zh-CN"/>
              </w:rPr>
              <w:t>；</w:t>
            </w:r>
            <w:r>
              <w:rPr>
                <w:rFonts w:hint="eastAsia" w:ascii="宋体" w:hAnsi="宋体" w:cs="新宋体"/>
                <w:color w:val="auto"/>
                <w:sz w:val="21"/>
                <w:szCs w:val="21"/>
              </w:rPr>
              <w:t>5.3组织的角色、职责和权限；6.1应对风险和机遇的措施；6.2目标及其实现的策划；6.3变更的策划；9.1.1监测、分析和评价总则；9.3管理评审；10.1改进 总则；10.3持续改进；</w:t>
            </w:r>
          </w:p>
          <w:p>
            <w:pPr>
              <w:rPr>
                <w:rFonts w:hint="eastAsia" w:ascii="宋体" w:hAnsi="宋体" w:eastAsia="宋体" w:cs="新宋体"/>
                <w:color w:val="auto"/>
                <w:sz w:val="21"/>
                <w:szCs w:val="21"/>
                <w:lang w:val="en-US" w:eastAsia="zh-CN"/>
              </w:rPr>
            </w:pPr>
            <w:r>
              <w:rPr>
                <w:rFonts w:hint="eastAsia" w:ascii="宋体" w:hAnsi="宋体" w:eastAsia="宋体" w:cs="新宋体"/>
                <w:color w:val="auto"/>
                <w:sz w:val="21"/>
                <w:szCs w:val="21"/>
              </w:rPr>
              <w:t>范围的确认、资质的确认、管理体系变化情况、质量监督抽查情况、顾客对产品质量的投诉、认证证书及标识使用情况，上次</w:t>
            </w:r>
            <w:r>
              <w:rPr>
                <w:rFonts w:hint="eastAsia" w:ascii="宋体" w:hAnsi="宋体" w:eastAsia="宋体" w:cs="新宋体"/>
                <w:color w:val="auto"/>
                <w:sz w:val="21"/>
                <w:szCs w:val="21"/>
                <w:lang w:val="en-US" w:eastAsia="zh-CN"/>
              </w:rPr>
              <w:t>审核</w:t>
            </w:r>
            <w:r>
              <w:rPr>
                <w:rFonts w:hint="eastAsia" w:ascii="宋体" w:hAnsi="宋体" w:eastAsia="宋体" w:cs="新宋体"/>
                <w:color w:val="auto"/>
                <w:sz w:val="21"/>
                <w:szCs w:val="21"/>
              </w:rPr>
              <w:t>不符合</w:t>
            </w:r>
            <w:r>
              <w:rPr>
                <w:rFonts w:hint="eastAsia" w:ascii="宋体" w:hAnsi="宋体" w:eastAsia="宋体" w:cs="新宋体"/>
                <w:color w:val="auto"/>
                <w:sz w:val="21"/>
                <w:szCs w:val="21"/>
                <w:lang w:val="en-US" w:eastAsia="zh-CN"/>
              </w:rPr>
              <w:t>项</w:t>
            </w:r>
            <w:r>
              <w:rPr>
                <w:rFonts w:hint="eastAsia" w:ascii="宋体" w:hAnsi="宋体" w:eastAsia="宋体" w:cs="新宋体"/>
                <w:color w:val="auto"/>
                <w:sz w:val="21"/>
                <w:szCs w:val="21"/>
              </w:rPr>
              <w:t>验证</w:t>
            </w:r>
            <w:r>
              <w:rPr>
                <w:rFonts w:hint="eastAsia" w:ascii="宋体" w:hAnsi="宋体" w:eastAsia="宋体" w:cs="新宋体"/>
                <w:color w:val="auto"/>
                <w:sz w:val="21"/>
                <w:szCs w:val="21"/>
                <w:lang w:eastAsia="zh-CN"/>
              </w:rPr>
              <w:t>（</w:t>
            </w:r>
            <w:r>
              <w:rPr>
                <w:rFonts w:hint="eastAsia" w:ascii="宋体" w:hAnsi="宋体" w:eastAsia="宋体" w:cs="新宋体"/>
                <w:color w:val="auto"/>
                <w:sz w:val="21"/>
                <w:szCs w:val="21"/>
                <w:lang w:val="en-US" w:eastAsia="zh-CN"/>
              </w:rPr>
              <w:t>8.5.1条款）</w:t>
            </w:r>
          </w:p>
          <w:p>
            <w:pPr>
              <w:rPr>
                <w:rFonts w:hint="default" w:ascii="宋体" w:hAnsi="宋体" w:eastAsia="宋体" w:cs="新宋体"/>
                <w:color w:val="auto"/>
                <w:sz w:val="21"/>
                <w:szCs w:val="21"/>
                <w:lang w:val="en-US" w:eastAsia="zh-CN"/>
              </w:rPr>
            </w:pPr>
            <w:r>
              <w:rPr>
                <w:rFonts w:hint="eastAsia" w:ascii="宋体" w:hAnsi="宋体" w:cs="新宋体"/>
                <w:color w:val="auto"/>
                <w:sz w:val="21"/>
                <w:szCs w:val="21"/>
              </w:rPr>
              <w:t>工程部：</w:t>
            </w:r>
          </w:p>
          <w:p>
            <w:pPr>
              <w:pStyle w:val="3"/>
              <w:ind w:left="0" w:leftChars="0" w:firstLine="0" w:firstLineChars="0"/>
              <w:rPr>
                <w:rFonts w:hint="eastAsia" w:ascii="宋体" w:hAnsi="宋体" w:cs="新宋体"/>
                <w:color w:val="auto"/>
                <w:sz w:val="21"/>
                <w:szCs w:val="21"/>
              </w:rPr>
            </w:pPr>
            <w:r>
              <w:rPr>
                <w:rFonts w:hint="eastAsia" w:ascii="宋体" w:hAnsi="宋体" w:cs="新宋体"/>
                <w:color w:val="auto"/>
                <w:sz w:val="21"/>
                <w:szCs w:val="21"/>
              </w:rPr>
              <w:t>5.3组织的角色、职责和权限；6.2质量目标及其实现的策划；7.1.3基础设施；7.1.5监视和测量资源；8.1运行策划和控制；8.3设计开发控制；8.5.1生产和服务提供的控制（上次不符合项验证）；8.5.2标识和可追溯性；8.5.3顾客或外部供方的财产；8.5.4防护；8.5.5交付后的活动；8.5.6更改控制</w:t>
            </w:r>
            <w:r>
              <w:rPr>
                <w:rFonts w:hint="eastAsia" w:ascii="宋体" w:hAnsi="宋体" w:cs="新宋体"/>
                <w:color w:val="auto"/>
                <w:sz w:val="21"/>
                <w:szCs w:val="21"/>
                <w:lang w:eastAsia="zh-CN"/>
              </w:rPr>
              <w:t>；</w:t>
            </w:r>
            <w:r>
              <w:rPr>
                <w:rFonts w:hint="eastAsia" w:ascii="宋体" w:hAnsi="宋体" w:cs="新宋体"/>
                <w:color w:val="auto"/>
                <w:sz w:val="21"/>
                <w:szCs w:val="21"/>
              </w:rPr>
              <w:t>8.6产品和服务放行</w:t>
            </w:r>
            <w:r>
              <w:rPr>
                <w:rFonts w:hint="eastAsia" w:ascii="宋体" w:hAnsi="宋体" w:cs="新宋体"/>
                <w:color w:val="auto"/>
                <w:sz w:val="21"/>
                <w:szCs w:val="21"/>
                <w:lang w:val="en-US" w:eastAsia="zh-CN"/>
              </w:rPr>
              <w:t>；</w:t>
            </w:r>
            <w:r>
              <w:rPr>
                <w:rFonts w:hint="eastAsia" w:ascii="宋体" w:hAnsi="宋体" w:cs="新宋体"/>
                <w:color w:val="auto"/>
                <w:sz w:val="21"/>
                <w:szCs w:val="21"/>
              </w:rPr>
              <w:t>8.7不合格输出的控制</w:t>
            </w:r>
          </w:p>
          <w:p>
            <w:pPr>
              <w:rPr>
                <w:rFonts w:hint="default" w:ascii="宋体" w:hAnsi="宋体" w:eastAsia="宋体" w:cs="新宋体"/>
                <w:color w:val="auto"/>
                <w:sz w:val="21"/>
                <w:szCs w:val="21"/>
                <w:lang w:val="en-US" w:eastAsia="zh-CN"/>
              </w:rPr>
            </w:pPr>
            <w:r>
              <w:rPr>
                <w:rFonts w:hint="eastAsia" w:ascii="宋体" w:hAnsi="宋体" w:cs="新宋体"/>
                <w:color w:val="auto"/>
                <w:sz w:val="21"/>
                <w:szCs w:val="21"/>
                <w:lang w:eastAsia="zh-CN"/>
              </w:rPr>
              <w:t>行政办公室</w:t>
            </w:r>
            <w:r>
              <w:rPr>
                <w:rFonts w:hint="eastAsia" w:ascii="宋体" w:hAnsi="宋体" w:cs="新宋体"/>
                <w:color w:val="auto"/>
                <w:sz w:val="21"/>
                <w:szCs w:val="21"/>
              </w:rPr>
              <w:t>:</w:t>
            </w:r>
          </w:p>
          <w:p>
            <w:pPr>
              <w:pStyle w:val="3"/>
              <w:ind w:left="0" w:leftChars="0" w:firstLine="0" w:firstLineChars="0"/>
              <w:rPr>
                <w:rFonts w:hint="eastAsia" w:ascii="宋体" w:hAnsi="宋体" w:cs="新宋体"/>
                <w:color w:val="auto"/>
                <w:sz w:val="21"/>
                <w:szCs w:val="21"/>
              </w:rPr>
            </w:pPr>
            <w:r>
              <w:rPr>
                <w:rFonts w:hint="eastAsia" w:ascii="宋体" w:hAnsi="宋体" w:cs="新宋体"/>
                <w:color w:val="auto"/>
                <w:sz w:val="21"/>
                <w:szCs w:val="21"/>
              </w:rPr>
              <w:t xml:space="preserve">5.3组织的角色、职责和权限；6.2质量目标及其实现的策划；9.1.3分析和评价；9.2内部审核；10.2不合格和纠正措施 </w:t>
            </w:r>
          </w:p>
          <w:p>
            <w:pPr>
              <w:rPr>
                <w:rFonts w:hint="default" w:ascii="宋体" w:hAnsi="宋体" w:eastAsia="宋体" w:cs="新宋体"/>
                <w:color w:val="auto"/>
                <w:sz w:val="21"/>
                <w:szCs w:val="21"/>
                <w:lang w:val="en-US" w:eastAsia="zh-CN"/>
              </w:rPr>
            </w:pPr>
            <w:r>
              <w:rPr>
                <w:rFonts w:hint="eastAsia" w:ascii="宋体" w:hAnsi="宋体" w:eastAsia="宋体" w:cs="新宋体"/>
                <w:color w:val="auto"/>
                <w:sz w:val="21"/>
                <w:szCs w:val="21"/>
                <w:lang w:val="en-US" w:eastAsia="zh-CN"/>
              </w:rPr>
              <w:t>市场部</w:t>
            </w:r>
            <w:r>
              <w:rPr>
                <w:rFonts w:hint="eastAsia" w:ascii="宋体" w:hAnsi="宋体" w:eastAsia="宋体" w:cs="新宋体"/>
                <w:color w:val="auto"/>
                <w:sz w:val="21"/>
                <w:szCs w:val="21"/>
              </w:rPr>
              <w:t>：</w:t>
            </w:r>
          </w:p>
          <w:p>
            <w:pPr>
              <w:pStyle w:val="3"/>
              <w:ind w:left="0" w:leftChars="0" w:firstLine="0" w:firstLineChars="0"/>
              <w:rPr>
                <w:sz w:val="24"/>
              </w:rPr>
            </w:pPr>
            <w:r>
              <w:rPr>
                <w:rFonts w:hint="eastAsia" w:ascii="宋体" w:hAnsi="宋体" w:eastAsia="宋体" w:cs="新宋体"/>
                <w:color w:val="auto"/>
                <w:sz w:val="21"/>
                <w:szCs w:val="21"/>
              </w:rPr>
              <w:t>5.3组织的角色、职责和权限；6.2质量目标及其实现的策划</w:t>
            </w:r>
            <w:r>
              <w:rPr>
                <w:rFonts w:hint="eastAsia" w:ascii="宋体" w:hAnsi="宋体" w:eastAsia="宋体" w:cs="新宋体"/>
                <w:color w:val="auto"/>
                <w:sz w:val="21"/>
                <w:szCs w:val="21"/>
                <w:lang w:val="en-US" w:eastAsia="zh-CN"/>
              </w:rPr>
              <w:t>；</w:t>
            </w:r>
            <w:r>
              <w:rPr>
                <w:rFonts w:hint="eastAsia" w:ascii="宋体" w:hAnsi="宋体" w:eastAsia="宋体" w:cs="新宋体"/>
                <w:color w:val="auto"/>
                <w:sz w:val="21"/>
                <w:szCs w:val="21"/>
              </w:rPr>
              <w:t>8.2产品和服务的要求；8.4外部提供过程、产品和服务的控制；9.1.2顾客满意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lang w:val="en-US" w:eastAsia="zh-CN"/>
              </w:rPr>
              <w:t>1</w:t>
            </w:r>
            <w:r>
              <w:rPr>
                <w:rFonts w:hint="eastAsia" w:ascii="宋体" w:hAnsi="宋体"/>
                <w:bCs/>
                <w:sz w:val="24"/>
              </w:rPr>
              <w:t>项    分布</w:t>
            </w:r>
            <w:r>
              <w:rPr>
                <w:rFonts w:ascii="宋体" w:hAnsi="宋体"/>
                <w:bCs/>
                <w:sz w:val="24"/>
              </w:rPr>
              <w:t>部门</w:t>
            </w:r>
            <w:r>
              <w:rPr>
                <w:rFonts w:hint="eastAsia" w:ascii="宋体" w:hAnsi="宋体"/>
                <w:bCs/>
                <w:sz w:val="24"/>
              </w:rPr>
              <w:t>：</w:t>
            </w:r>
            <w:r>
              <w:rPr>
                <w:rFonts w:hint="eastAsia" w:ascii="宋体" w:hAnsi="宋体"/>
                <w:bCs/>
                <w:sz w:val="24"/>
                <w:lang w:eastAsia="zh-CN"/>
              </w:rPr>
              <w:t>工程部</w:t>
            </w:r>
            <w:r>
              <w:rPr>
                <w:rFonts w:hint="eastAsia" w:ascii="宋体" w:hAnsi="宋体"/>
                <w:bCs/>
                <w:sz w:val="24"/>
              </w:rPr>
              <w:t xml:space="preserve">           </w:t>
            </w:r>
          </w:p>
          <w:p>
            <w:pPr>
              <w:spacing w:line="400" w:lineRule="exact"/>
              <w:rPr>
                <w:rFonts w:hint="eastAsia" w:ascii="宋体" w:hAnsi="宋体" w:eastAsia="宋体" w:cs="Times New Roman"/>
                <w:bCs/>
                <w:sz w:val="24"/>
              </w:rPr>
            </w:pPr>
            <w:r>
              <w:rPr>
                <w:rFonts w:hint="eastAsia" w:ascii="宋体" w:hAnsi="宋体"/>
                <w:bCs/>
                <w:sz w:val="24"/>
              </w:rPr>
              <w:t>不符合标准及条款：</w:t>
            </w:r>
            <w:r>
              <w:rPr>
                <w:rFonts w:hint="eastAsia" w:ascii="宋体" w:hAnsi="宋体" w:eastAsia="宋体" w:cs="Times New Roman"/>
                <w:bCs/>
                <w:sz w:val="24"/>
              </w:rPr>
              <w:t>GB/T19001-2016标准的8.7.2</w:t>
            </w:r>
            <w:r>
              <w:rPr>
                <w:rFonts w:hint="eastAsia" w:ascii="宋体" w:hAnsi="宋体" w:eastAsia="宋体" w:cs="Times New Roman"/>
                <w:bCs/>
                <w:sz w:val="24"/>
                <w:lang w:eastAsia="zh-CN"/>
              </w:rPr>
              <w:t>条款</w:t>
            </w:r>
          </w:p>
          <w:p>
            <w:pPr>
              <w:rPr>
                <w:rFonts w:ascii="宋体" w:hAnsi="宋体"/>
                <w:bCs/>
                <w:sz w:val="24"/>
              </w:rPr>
            </w:pPr>
            <w:r>
              <w:rPr>
                <w:rFonts w:ascii="宋体" w:hAnsi="宋体"/>
                <w:bCs/>
                <w:sz w:val="24"/>
              </w:rPr>
              <w:t>不符合性质</w:t>
            </w:r>
            <w:r>
              <w:rPr>
                <w:rFonts w:hint="eastAsia" w:ascii="宋体" w:hAnsi="宋体"/>
                <w:bCs/>
                <w:sz w:val="24"/>
              </w:rPr>
              <w:t>：</w:t>
            </w:r>
            <w:r>
              <w:rPr>
                <w:rFonts w:hint="eastAsia" w:ascii="宋体" w:hAnsi="宋体"/>
                <w:bCs/>
                <w:sz w:val="24"/>
              </w:rPr>
              <w:sym w:font="Wingdings 2" w:char="0052"/>
            </w:r>
            <w:r>
              <w:rPr>
                <w:rFonts w:hint="eastAsia" w:ascii="宋体" w:hAnsi="宋体"/>
                <w:bCs/>
                <w:sz w:val="24"/>
              </w:rPr>
              <w:t>一般不符合   □严重不符合</w:t>
            </w:r>
          </w:p>
          <w:p>
            <w:pPr>
              <w:rPr>
                <w:rFonts w:ascii="宋体" w:hAnsi="宋体"/>
                <w:bCs/>
                <w:sz w:val="24"/>
              </w:rPr>
            </w:pPr>
            <w:r>
              <w:rPr>
                <w:rFonts w:hint="eastAsia" w:ascii="宋体" w:hAnsi="宋体"/>
                <w:bCs/>
                <w:sz w:val="24"/>
              </w:rPr>
              <w:t xml:space="preserve">上次不符合项验证：关闭    </w:t>
            </w:r>
            <w:r>
              <w:rPr>
                <w:rFonts w:hint="eastAsia" w:ascii="宋体" w:hAnsi="宋体"/>
                <w:bCs/>
                <w:sz w:val="24"/>
                <w:lang w:val="en-US" w:eastAsia="zh-CN"/>
              </w:rPr>
              <w:t>1</w:t>
            </w:r>
            <w:bookmarkStart w:id="18" w:name="_GoBack"/>
            <w:bookmarkEnd w:id="18"/>
            <w:r>
              <w:rPr>
                <w:rFonts w:hint="eastAsia" w:ascii="宋体" w:hAnsi="宋体"/>
                <w:bCs/>
                <w:sz w:val="24"/>
              </w:rPr>
              <w:t xml:space="preserve">    项。</w:t>
            </w:r>
          </w:p>
          <w:p>
            <w:pPr>
              <w:pStyle w:val="3"/>
              <w:ind w:firstLine="480"/>
              <w:rPr>
                <w:sz w:val="24"/>
              </w:rPr>
            </w:pP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r>
              <w:rPr>
                <w:sz w:val="22"/>
                <w:szCs w:val="22"/>
              </w:rPr>
              <w:drawing>
                <wp:anchor distT="0" distB="0" distL="114300" distR="114300" simplePos="0" relativeHeight="251660288" behindDoc="0" locked="0" layoutInCell="1" allowOverlap="1">
                  <wp:simplePos x="0" y="0"/>
                  <wp:positionH relativeFrom="column">
                    <wp:posOffset>1145540</wp:posOffset>
                  </wp:positionH>
                  <wp:positionV relativeFrom="paragraph">
                    <wp:posOffset>186690</wp:posOffset>
                  </wp:positionV>
                  <wp:extent cx="473710" cy="213360"/>
                  <wp:effectExtent l="0" t="0" r="2540" b="15240"/>
                  <wp:wrapNone/>
                  <wp:docPr id="1"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a634927fd83e4b1f218dd59a4bd545b.png"/>
                          <pic:cNvPicPr>
                            <a:picLocks noChangeAspect="1" noChangeArrowheads="1"/>
                          </pic:cNvPicPr>
                        </pic:nvPicPr>
                        <pic:blipFill>
                          <a:blip r:embed="rId6"/>
                          <a:srcRect/>
                          <a:stretch>
                            <a:fillRect/>
                          </a:stretch>
                        </pic:blipFill>
                        <pic:spPr>
                          <a:xfrm>
                            <a:off x="1565910" y="7710170"/>
                            <a:ext cx="473710" cy="213360"/>
                          </a:xfrm>
                          <a:prstGeom prst="rect">
                            <a:avLst/>
                          </a:prstGeom>
                          <a:noFill/>
                          <a:ln w="9525">
                            <a:noFill/>
                          </a:ln>
                        </pic:spPr>
                      </pic:pic>
                    </a:graphicData>
                  </a:graphic>
                </wp:anchor>
              </w:drawing>
            </w: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2022.0  2022.09.25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mc:AlternateContent>
        <mc:Choice Requires="wps">
          <w:drawing>
            <wp:anchor distT="0" distB="0" distL="114300" distR="114300" simplePos="0" relativeHeight="251659264" behindDoc="0" locked="0" layoutInCell="1" allowOverlap="1">
              <wp:simplePos x="0" y="0"/>
              <wp:positionH relativeFrom="column">
                <wp:posOffset>4067175</wp:posOffset>
              </wp:positionH>
              <wp:positionV relativeFrom="paragraph">
                <wp:posOffset>28575</wp:posOffset>
              </wp:positionV>
              <wp:extent cx="2473960" cy="306705"/>
              <wp:effectExtent l="0" t="0" r="2540" b="17145"/>
              <wp:wrapNone/>
              <wp:docPr id="2" name="文本框 1"/>
              <wp:cNvGraphicFramePr/>
              <a:graphic xmlns:a="http://schemas.openxmlformats.org/drawingml/2006/main">
                <a:graphicData uri="http://schemas.microsoft.com/office/word/2010/wordprocessingShape">
                  <wps:wsp>
                    <wps:cNvSpPr txBox="1"/>
                    <wps:spPr>
                      <a:xfrm>
                        <a:off x="0" y="0"/>
                        <a:ext cx="2473960" cy="306705"/>
                      </a:xfrm>
                      <a:prstGeom prst="rect">
                        <a:avLst/>
                      </a:prstGeom>
                      <a:solidFill>
                        <a:srgbClr val="FFFFFF"/>
                      </a:solidFill>
                      <a:ln>
                        <a:noFill/>
                      </a:ln>
                    </wps:spPr>
                    <wps:txbx>
                      <w:txbxContent>
                        <w:p>
                          <w:pPr>
                            <w:rPr>
                              <w:szCs w:val="21"/>
                            </w:rPr>
                          </w:pPr>
                          <w:r>
                            <w:rPr>
                              <w:color w:val="000000"/>
                              <w:kern w:val="0"/>
                              <w:szCs w:val="21"/>
                            </w:rPr>
                            <w:t>ISC-B-II-19</w:t>
                          </w:r>
                          <w:r>
                            <w:rPr>
                              <w:rFonts w:hint="eastAsia"/>
                              <w:szCs w:val="21"/>
                            </w:rPr>
                            <w:t>审核信息传递表（02版)</w:t>
                          </w:r>
                        </w:p>
                      </w:txbxContent>
                    </wps:txbx>
                    <wps:bodyPr upright="1"/>
                  </wps:wsp>
                </a:graphicData>
              </a:graphic>
            </wp:anchor>
          </w:drawing>
        </mc:Choice>
        <mc:Fallback>
          <w:pict>
            <v:shape id="文本框 1" o:spid="_x0000_s1026" o:spt="202" type="#_x0000_t202" style="position:absolute;left:0pt;margin-left:320.25pt;margin-top:2.25pt;height:24.15pt;width:194.8pt;z-index:251659264;mso-width-relative:page;mso-height-relative:page;" fillcolor="#FFFFFF" filled="t" stroked="f" coordsize="21600,21600" o:gfxdata="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xYtTo9cAAAAJAQAADwAAAAAAAAABACAAAAAiAAAAZHJzL2Rvd25yZXYueG1s&#10;UEsBAhQAFAAAAAgAh07iQFsJhaPAAQAAdwMAAA4AAAAAAAAAAQAgAAAAJgEAAGRycy9lMm9Eb2Mu&#10;eG1sUEsFBgAAAAAGAAYAWQEAAFgFAAAAAA==&#10;">
              <v:fill on="t" focussize="0,0"/>
              <v:stroke on="f"/>
              <v:imagedata o:title=""/>
              <o:lock v:ext="edit" aspectratio="f"/>
              <v:textbox>
                <w:txbxContent>
                  <w:p>
                    <w:pPr>
                      <w:rPr>
                        <w:szCs w:val="21"/>
                      </w:rPr>
                    </w:pPr>
                    <w:r>
                      <w:rPr>
                        <w:color w:val="000000"/>
                        <w:kern w:val="0"/>
                        <w:szCs w:val="21"/>
                      </w:rPr>
                      <w:t>ISC-B-II-19</w:t>
                    </w:r>
                    <w:r>
                      <w:rPr>
                        <w:rFonts w:hint="eastAsia"/>
                        <w:szCs w:val="21"/>
                      </w:rPr>
                      <w:t>审核信息传递表（02版)</w:t>
                    </w:r>
                  </w:p>
                </w:txbxContent>
              </v:textbox>
            </v:shape>
          </w:pict>
        </mc:Fallback>
      </mc:AlternateContent>
    </w:r>
    <w:r>
      <w:drawing>
        <wp:anchor distT="0" distB="0" distL="114300" distR="114300" simplePos="0" relativeHeight="251660288" behindDoc="0" locked="0" layoutInCell="1" allowOverlap="1">
          <wp:simplePos x="0" y="0"/>
          <wp:positionH relativeFrom="column">
            <wp:posOffset>-229870</wp:posOffset>
          </wp:positionH>
          <wp:positionV relativeFrom="paragraph">
            <wp:posOffset>-104775</wp:posOffset>
          </wp:positionV>
          <wp:extent cx="481965" cy="485140"/>
          <wp:effectExtent l="0" t="0" r="13335" b="10160"/>
          <wp:wrapTopAndBottom/>
          <wp:docPr id="3"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0"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lhY2M4Nzg0MTlhZTI0MTIwY2MxNGYzOGYwMDdmNzkifQ=="/>
  </w:docVars>
  <w:rsids>
    <w:rsidRoot w:val="00000000"/>
    <w:rsid w:val="023F6268"/>
    <w:rsid w:val="041B2228"/>
    <w:rsid w:val="07B24511"/>
    <w:rsid w:val="10B70866"/>
    <w:rsid w:val="2FEA5821"/>
    <w:rsid w:val="485128C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350</Words>
  <Characters>1995</Characters>
  <Lines>16</Lines>
  <Paragraphs>4</Paragraphs>
  <TotalTime>1</TotalTime>
  <ScaleCrop>false</ScaleCrop>
  <LinksUpToDate>false</LinksUpToDate>
  <CharactersWithSpaces>2341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Administrator</cp:lastModifiedBy>
  <cp:lastPrinted>2015-12-21T05:08:00Z</cp:lastPrinted>
  <dcterms:modified xsi:type="dcterms:W3CDTF">2022-09-29T01:23:51Z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35BCDFAF9C3F4940ACECA4092C743A1B</vt:lpwstr>
  </property>
  <property fmtid="{D5CDD505-2E9C-101B-9397-08002B2CF9AE}" pid="3" name="KSOProductBuildVer">
    <vt:lpwstr>2052-11.1.0.12358</vt:lpwstr>
  </property>
</Properties>
</file>