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江西道承智能科技有限公司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江西道承智能科技有限公司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江西省宜春市樟树市观上镇观中路156号（自主承诺）</w:t>
            </w:r>
            <w:bookmarkEnd w:id="6"/>
          </w:p>
        </w:tc>
        <w:tc>
          <w:tcPr>
            <w:tcW w:w="1242" w:type="dxa"/>
            <w:vMerge w:val="restart"/>
            <w:vAlign w:val="center"/>
          </w:tcPr>
          <w:p>
            <w:r>
              <w:rPr>
                <w:rFonts w:hint="eastAsia"/>
              </w:rPr>
              <w:t>邮编</w:t>
            </w:r>
          </w:p>
        </w:tc>
        <w:tc>
          <w:tcPr>
            <w:tcW w:w="1771" w:type="dxa"/>
          </w:tcPr>
          <w:p>
            <w:bookmarkStart w:id="7" w:name="注册邮编"/>
            <w:r>
              <w:t>331207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江西省樟树市药都南大道中天豪苑A1座13楼</w:t>
            </w:r>
            <w:bookmarkEnd w:id="8"/>
          </w:p>
        </w:tc>
        <w:tc>
          <w:tcPr>
            <w:tcW w:w="1242" w:type="dxa"/>
            <w:vMerge w:val="continue"/>
            <w:vAlign w:val="center"/>
          </w:tcPr>
          <w:p/>
        </w:tc>
        <w:tc>
          <w:tcPr>
            <w:tcW w:w="1771" w:type="dxa"/>
          </w:tcPr>
          <w:p>
            <w:bookmarkStart w:id="9" w:name="办公邮编"/>
            <w:r>
              <w:t>331299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王熙晏</w:t>
            </w:r>
            <w:bookmarkEnd w:id="10"/>
          </w:p>
        </w:tc>
        <w:tc>
          <w:tcPr>
            <w:tcW w:w="1313" w:type="dxa"/>
            <w:vAlign w:val="center"/>
          </w:tcPr>
          <w:p>
            <w:r>
              <w:rPr>
                <w:rFonts w:hint="eastAsia"/>
              </w:rPr>
              <w:t>电话.</w:t>
            </w:r>
          </w:p>
        </w:tc>
        <w:tc>
          <w:tcPr>
            <w:tcW w:w="2180" w:type="dxa"/>
            <w:vAlign w:val="center"/>
          </w:tcPr>
          <w:p>
            <w:bookmarkStart w:id="11" w:name="联系人电话"/>
            <w:r>
              <w:t>18107932155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聂亮兵</w:t>
            </w:r>
            <w:bookmarkEnd w:id="13"/>
          </w:p>
        </w:tc>
        <w:tc>
          <w:tcPr>
            <w:tcW w:w="1313" w:type="dxa"/>
            <w:vAlign w:val="center"/>
          </w:tcPr>
          <w:p>
            <w:r>
              <w:rPr>
                <w:rFonts w:hint="eastAsia"/>
              </w:rPr>
              <w:t>管理者代表</w:t>
            </w:r>
          </w:p>
        </w:tc>
        <w:tc>
          <w:tcPr>
            <w:tcW w:w="2180" w:type="dxa"/>
          </w:tcPr>
          <w:p>
            <w:bookmarkStart w:id="14" w:name="管理者代表"/>
            <w:r>
              <w:t>杨子恒</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产品要求信息获取——产品要求评审——签订合同——采购——质检——交付</w:t>
            </w:r>
          </w:p>
        </w:tc>
      </w:tr>
    </w:tbl>
    <w:p/>
    <w:p>
      <w:r>
        <w:rPr>
          <w:rFonts w:hint="eastAsia"/>
        </w:rPr>
        <w:t>二、本次审核信息</w:t>
      </w:r>
    </w:p>
    <w:tbl>
      <w:tblPr>
        <w:tblStyle w:val="8"/>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820"/>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spacing w:line="360" w:lineRule="auto"/>
            </w:pPr>
            <w:r>
              <w:rPr>
                <w:rFonts w:hint="eastAsia"/>
              </w:rPr>
              <w:t>审核日期</w:t>
            </w:r>
          </w:p>
        </w:tc>
        <w:tc>
          <w:tcPr>
            <w:tcW w:w="8116" w:type="dxa"/>
            <w:gridSpan w:val="3"/>
            <w:tcMar>
              <w:left w:w="113" w:type="dxa"/>
            </w:tcMar>
          </w:tcPr>
          <w:p>
            <w:pPr>
              <w:spacing w:line="360" w:lineRule="auto"/>
            </w:pPr>
            <w:bookmarkStart w:id="15" w:name="审核日期"/>
            <w:r>
              <w:rPr>
                <w:rFonts w:hint="eastAsia"/>
              </w:rPr>
              <w:t>2022年10月11日 下午至2022年10月14日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8116"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8116" w:type="dxa"/>
            <w:gridSpan w:val="3"/>
            <w:tcMar>
              <w:left w:w="113" w:type="dxa"/>
            </w:tcMar>
          </w:tcPr>
          <w:p>
            <w:pPr>
              <w:spacing w:line="360" w:lineRule="auto"/>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spacing w:line="360" w:lineRule="auto"/>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pPr>
              <w:spacing w:line="360" w:lineRule="auto"/>
            </w:pPr>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pPr>
              <w:spacing w:line="360" w:lineRule="auto"/>
            </w:pPr>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pPr>
              <w:spacing w:line="360" w:lineRule="auto"/>
            </w:pPr>
            <w:r>
              <w:rPr>
                <w:rFonts w:hint="eastAsia"/>
              </w:rPr>
              <w:t>审核方式</w:t>
            </w:r>
          </w:p>
        </w:tc>
        <w:tc>
          <w:tcPr>
            <w:tcW w:w="8116" w:type="dxa"/>
            <w:gridSpan w:val="3"/>
            <w:tcMar>
              <w:left w:w="113" w:type="dxa"/>
            </w:tcMar>
            <w:vAlign w:val="center"/>
          </w:tcPr>
          <w:p>
            <w:pPr>
              <w:spacing w:line="360" w:lineRule="auto"/>
            </w:pP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spacing w:line="360" w:lineRule="auto"/>
            </w:pPr>
            <w:r>
              <w:rPr>
                <w:rFonts w:hint="eastAsia" w:ascii="宋体" w:hAnsi="宋体" w:cs="宋体"/>
                <w:color w:val="000000"/>
                <w:kern w:val="0"/>
                <w:szCs w:val="21"/>
              </w:rPr>
              <w:t>审核方法</w:t>
            </w:r>
          </w:p>
        </w:tc>
        <w:tc>
          <w:tcPr>
            <w:tcW w:w="8116" w:type="dxa"/>
            <w:gridSpan w:val="3"/>
            <w:tcMar>
              <w:left w:w="113" w:type="dxa"/>
            </w:tcMar>
            <w:vAlign w:val="bottom"/>
          </w:tcPr>
          <w:p>
            <w:pPr>
              <w:widowControl/>
              <w:spacing w:line="360" w:lineRule="auto"/>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spacing w:line="360" w:lineRule="auto"/>
            </w:pPr>
            <w:r>
              <w:rPr>
                <w:rFonts w:hint="eastAsia"/>
              </w:rPr>
              <w:t>审核类型</w:t>
            </w:r>
          </w:p>
        </w:tc>
        <w:tc>
          <w:tcPr>
            <w:tcW w:w="8116" w:type="dxa"/>
            <w:gridSpan w:val="3"/>
            <w:tcMar>
              <w:left w:w="113" w:type="dxa"/>
            </w:tcMar>
          </w:tcPr>
          <w:p>
            <w:pPr>
              <w:spacing w:line="360" w:lineRule="auto"/>
            </w:pPr>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116"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8116"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8116"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8116" w:type="dxa"/>
            <w:gridSpan w:val="3"/>
            <w:tcMar>
              <w:left w:w="113" w:type="dxa"/>
            </w:tcMar>
            <w:vAlign w:val="bottom"/>
          </w:tcPr>
          <w:p>
            <w:r>
              <w:rPr>
                <w:rFonts w:hint="eastAsia"/>
              </w:rPr>
              <w:t>□网络□智能手机□手持设备□笔记本电脑□台式电脑□无人机□摄像机□可穿戴技术□人工智能□其他</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restart"/>
            <w:vAlign w:val="center"/>
          </w:tcPr>
          <w:p>
            <w:r>
              <w:rPr>
                <w:rFonts w:hint="eastAsia"/>
              </w:rPr>
              <w:t>审核范围</w:t>
            </w:r>
          </w:p>
          <w:p/>
        </w:tc>
        <w:tc>
          <w:tcPr>
            <w:tcW w:w="6562" w:type="dxa"/>
            <w:gridSpan w:val="3"/>
            <w:vMerge w:val="restart"/>
            <w:vAlign w:val="center"/>
          </w:tcPr>
          <w:p>
            <w:bookmarkStart w:id="29" w:name="审核范围"/>
            <w:r>
              <w:t>Q：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p>
            <w:r>
              <w:t>E：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环境管理活动</w:t>
            </w:r>
          </w:p>
          <w:p>
            <w:r>
              <w:t>O：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所涉及场所的相关职业健康安全管理活动</w:t>
            </w:r>
            <w:bookmarkEnd w:id="29"/>
          </w:p>
        </w:tc>
        <w:tc>
          <w:tcPr>
            <w:tcW w:w="256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3" w:type="dxa"/>
            <w:vMerge w:val="continue"/>
            <w:vAlign w:val="center"/>
          </w:tcPr>
          <w:p/>
        </w:tc>
        <w:tc>
          <w:tcPr>
            <w:tcW w:w="6562" w:type="dxa"/>
            <w:gridSpan w:val="3"/>
            <w:vMerge w:val="continue"/>
            <w:vAlign w:val="center"/>
          </w:tcPr>
          <w:p/>
        </w:tc>
        <w:tc>
          <w:tcPr>
            <w:tcW w:w="2563"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不适用ISO9001的条款</w:t>
            </w:r>
          </w:p>
        </w:tc>
        <w:tc>
          <w:tcPr>
            <w:tcW w:w="8116"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不适用的理由（可多选）</w:t>
            </w:r>
          </w:p>
        </w:tc>
        <w:tc>
          <w:tcPr>
            <w:tcW w:w="8116"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体系文件实施时间</w:t>
            </w:r>
          </w:p>
        </w:tc>
        <w:tc>
          <w:tcPr>
            <w:tcW w:w="2733" w:type="dxa"/>
          </w:tcPr>
          <w:p>
            <w:r>
              <w:rPr>
                <w:rFonts w:hint="eastAsia"/>
              </w:rPr>
              <w:t>2022年05月10日</w:t>
            </w:r>
          </w:p>
        </w:tc>
        <w:tc>
          <w:tcPr>
            <w:tcW w:w="2820" w:type="dxa"/>
            <w:vAlign w:val="center"/>
          </w:tcPr>
          <w:p>
            <w:r>
              <w:rPr>
                <w:rFonts w:hint="eastAsia"/>
              </w:rPr>
              <w:t>管理体系运行已超过3个月</w:t>
            </w:r>
          </w:p>
        </w:tc>
        <w:tc>
          <w:tcPr>
            <w:tcW w:w="2563"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r>
              <w:rPr>
                <w:rFonts w:hint="eastAsia"/>
                <w:lang w:eastAsia="zh-CN"/>
              </w:rPr>
              <w:t>一阶段</w:t>
            </w:r>
          </w:p>
        </w:tc>
        <w:tc>
          <w:tcPr>
            <w:tcW w:w="2820" w:type="dxa"/>
            <w:vAlign w:val="center"/>
          </w:tcPr>
          <w:p>
            <w:r>
              <w:rPr>
                <w:rFonts w:hint="eastAsia"/>
              </w:rPr>
              <w:t>认证证书有效期</w:t>
            </w:r>
          </w:p>
          <w:p>
            <w:r>
              <w:rPr>
                <w:rFonts w:hint="eastAsia"/>
              </w:rPr>
              <w:t>（初审除外）</w:t>
            </w:r>
          </w:p>
        </w:tc>
        <w:tc>
          <w:tcPr>
            <w:tcW w:w="2563"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7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9"/>
        <w:gridCol w:w="2128"/>
        <w:gridCol w:w="572"/>
        <w:gridCol w:w="3109"/>
        <w:gridCol w:w="600"/>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119" w:type="dxa"/>
            <w:shd w:val="clear" w:color="auto" w:fill="F3F3F3"/>
            <w:tcMar>
              <w:left w:w="57" w:type="dxa"/>
              <w:right w:w="57" w:type="dxa"/>
            </w:tcMar>
          </w:tcPr>
          <w:p>
            <w:r>
              <w:rPr>
                <w:rFonts w:hint="eastAsia"/>
              </w:rPr>
              <w:t>组织名称及注册场所地址</w:t>
            </w:r>
          </w:p>
        </w:tc>
        <w:tc>
          <w:tcPr>
            <w:tcW w:w="2128" w:type="dxa"/>
            <w:shd w:val="clear" w:color="auto" w:fill="F3F3F3"/>
            <w:tcMar>
              <w:left w:w="57" w:type="dxa"/>
              <w:right w:w="57" w:type="dxa"/>
            </w:tcMar>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3109" w:type="dxa"/>
            <w:shd w:val="clear" w:color="auto" w:fill="F3F3F3"/>
            <w:tcMar>
              <w:left w:w="57" w:type="dxa"/>
              <w:right w:w="57" w:type="dxa"/>
            </w:tcMar>
          </w:tcPr>
          <w:p>
            <w:r>
              <w:rPr>
                <w:rFonts w:hint="eastAsia"/>
              </w:rPr>
              <w:t>审核范围（产品和过程）</w:t>
            </w:r>
          </w:p>
          <w:p/>
          <w:p/>
        </w:tc>
        <w:tc>
          <w:tcPr>
            <w:tcW w:w="600" w:type="dxa"/>
            <w:shd w:val="clear" w:color="auto" w:fill="F3F3F3"/>
            <w:tcMar>
              <w:left w:w="57" w:type="dxa"/>
              <w:right w:w="57" w:type="dxa"/>
            </w:tcMar>
          </w:tcPr>
          <w:p>
            <w:r>
              <w:rPr>
                <w:rFonts w:hint="eastAsia"/>
              </w:rPr>
              <w:t>标准</w:t>
            </w:r>
          </w:p>
        </w:tc>
        <w:tc>
          <w:tcPr>
            <w:tcW w:w="573"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vAlign w:val="center"/>
          </w:tcPr>
          <w:p>
            <w:pPr>
              <w:rPr>
                <w:lang w:eastAsia="ja-JP"/>
              </w:rPr>
            </w:pPr>
            <w:r>
              <w:rPr>
                <w:rFonts w:hint="eastAsia"/>
                <w:lang w:eastAsia="ja-JP"/>
              </w:rPr>
              <w:t>01</w:t>
            </w:r>
          </w:p>
        </w:tc>
        <w:tc>
          <w:tcPr>
            <w:tcW w:w="2119" w:type="dxa"/>
          </w:tcPr>
          <w:p>
            <w:pPr>
              <w:rPr>
                <w:rFonts w:hint="eastAsia"/>
                <w:lang w:val="de-DE" w:eastAsia="ja-JP"/>
              </w:rPr>
            </w:pPr>
            <w:r>
              <w:rPr>
                <w:rFonts w:hint="eastAsia"/>
                <w:lang w:val="de-DE" w:eastAsia="ja-JP"/>
              </w:rPr>
              <w:t>江西道承智能科技有限公司</w:t>
            </w:r>
          </w:p>
          <w:p>
            <w:pPr>
              <w:pStyle w:val="2"/>
              <w:rPr>
                <w:lang w:val="de-DE" w:eastAsia="ja-JP"/>
              </w:rPr>
            </w:pPr>
            <w:r>
              <w:rPr>
                <w:rFonts w:hint="eastAsia"/>
                <w:lang w:val="de-DE" w:eastAsia="ja-JP"/>
              </w:rPr>
              <w:t>江西省宜春市樟树市观上镇观中路156号（自主承诺）</w:t>
            </w:r>
          </w:p>
        </w:tc>
        <w:tc>
          <w:tcPr>
            <w:tcW w:w="2128" w:type="dxa"/>
          </w:tcPr>
          <w:p>
            <w:pPr>
              <w:rPr>
                <w:lang w:val="de-DE" w:eastAsia="ja-JP"/>
              </w:rPr>
            </w:pPr>
            <w:r>
              <w:rPr>
                <w:rFonts w:hint="eastAsia"/>
                <w:lang w:val="de-DE" w:eastAsia="ja-JP"/>
              </w:rPr>
              <w:t>江西省樟树市药都南大道中天豪苑A1座13楼</w:t>
            </w:r>
          </w:p>
        </w:tc>
        <w:tc>
          <w:tcPr>
            <w:tcW w:w="572" w:type="dxa"/>
            <w:vAlign w:val="center"/>
          </w:tcPr>
          <w:p>
            <w:pPr>
              <w:rPr>
                <w:rFonts w:hint="eastAsia" w:eastAsia="宋体"/>
                <w:lang w:val="en-US" w:eastAsia="zh-CN"/>
              </w:rPr>
            </w:pPr>
            <w:r>
              <w:rPr>
                <w:rFonts w:hint="eastAsia"/>
                <w:lang w:val="en-US" w:eastAsia="zh-CN"/>
              </w:rPr>
              <w:t>7</w:t>
            </w:r>
          </w:p>
        </w:tc>
        <w:tc>
          <w:tcPr>
            <w:tcW w:w="3109" w:type="dxa"/>
            <w:vAlign w:val="center"/>
          </w:tcPr>
          <w:p>
            <w:pPr>
              <w:rPr>
                <w:lang w:eastAsia="ja-JP"/>
              </w:rPr>
            </w:pPr>
            <w:r>
              <w:rPr>
                <w:rFonts w:hint="eastAsia"/>
                <w:lang w:eastAsia="ja-JP"/>
              </w:rPr>
              <w:t>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tc>
        <w:tc>
          <w:tcPr>
            <w:tcW w:w="600" w:type="dxa"/>
            <w:vAlign w:val="center"/>
          </w:tcPr>
          <w:p>
            <w:pPr>
              <w:rPr>
                <w:rFonts w:hint="eastAsia"/>
                <w:lang w:val="en-US" w:eastAsia="zh-CN"/>
              </w:rPr>
            </w:pPr>
            <w:r>
              <w:rPr>
                <w:rFonts w:hint="eastAsia"/>
                <w:lang w:val="en-US" w:eastAsia="zh-CN"/>
              </w:rPr>
              <w:t>Q</w:t>
            </w:r>
          </w:p>
          <w:p>
            <w:pPr>
              <w:rPr>
                <w:rFonts w:hint="eastAsia"/>
                <w:lang w:val="en-US" w:eastAsia="zh-CN"/>
              </w:rPr>
            </w:pPr>
            <w:r>
              <w:rPr>
                <w:rFonts w:hint="eastAsia"/>
                <w:lang w:val="en-US" w:eastAsia="zh-CN"/>
              </w:rPr>
              <w:t>E</w:t>
            </w:r>
          </w:p>
          <w:p>
            <w:pPr>
              <w:rPr>
                <w:rFonts w:hint="default" w:eastAsia="宋体"/>
                <w:lang w:val="en-US" w:eastAsia="zh-CN"/>
              </w:rPr>
            </w:pPr>
            <w:r>
              <w:rPr>
                <w:rFonts w:hint="eastAsia"/>
                <w:lang w:val="en-US" w:eastAsia="zh-CN"/>
              </w:rPr>
              <w:t>O</w:t>
            </w:r>
          </w:p>
        </w:tc>
        <w:tc>
          <w:tcPr>
            <w:tcW w:w="573" w:type="dxa"/>
            <w:shd w:val="clear" w:color="auto" w:fill="FFFFFF"/>
          </w:tcPr>
          <w:p>
            <w:pPr>
              <w:rPr>
                <w:rFonts w:hint="eastAsia" w:eastAsia="宋体"/>
                <w:lang w:eastAsia="zh-CN"/>
              </w:rPr>
            </w:pPr>
            <w:r>
              <w:rPr>
                <w:rFonts w:hint="eastAsia"/>
                <w:lang w:eastAsia="zh-CN"/>
              </w:rPr>
              <w:sym w:font="Wingdings 2" w:char="0052"/>
            </w:r>
          </w:p>
        </w:tc>
      </w:tr>
    </w:tbl>
    <w:p/>
    <w:p>
      <w:r>
        <w:rPr>
          <w:rFonts w:hint="eastAsia"/>
        </w:rPr>
        <w:t>三、任何影响审核方案的重要事项：</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tcPr>
          <w:p>
            <w:r>
              <w:rPr>
                <w:rFonts w:hint="eastAsia"/>
              </w:rPr>
              <w:t>影响审核方案的事项</w:t>
            </w:r>
          </w:p>
        </w:tc>
        <w:tc>
          <w:tcPr>
            <w:tcW w:w="7091"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9" w:type="dxa"/>
          </w:tcPr>
          <w:p>
            <w:r>
              <w:rPr>
                <w:rFonts w:hint="eastAsia"/>
              </w:rPr>
              <w:t>理由说明</w:t>
            </w:r>
          </w:p>
        </w:tc>
        <w:tc>
          <w:tcPr>
            <w:tcW w:w="7091"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1"/>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1" w:type="dxa"/>
          </w:tcPr>
          <w:p>
            <w:r>
              <w:rPr>
                <w:rFonts w:hint="eastAsia"/>
              </w:rPr>
              <w:sym w:font="Wingdings 2" w:char="0052"/>
            </w:r>
            <w:r>
              <w:rPr>
                <w:rFonts w:hint="eastAsia"/>
              </w:rPr>
              <w:t>已按照审核计划完成全部审核工作</w:t>
            </w:r>
          </w:p>
        </w:tc>
        <w:tc>
          <w:tcPr>
            <w:tcW w:w="549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1" w:type="dxa"/>
          </w:tcPr>
          <w:p>
            <w:r>
              <w:rPr>
                <w:rFonts w:hint="eastAsia"/>
              </w:rPr>
              <w:t>□审核计划有修改，但不会影响审核结论。</w:t>
            </w:r>
          </w:p>
          <w:p>
            <w:r>
              <w:rPr>
                <w:rFonts w:hint="eastAsia"/>
              </w:rPr>
              <w:t>修改的内容和原因是：</w:t>
            </w:r>
          </w:p>
        </w:tc>
        <w:tc>
          <w:tcPr>
            <w:tcW w:w="5495"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1" w:type="dxa"/>
          </w:tcPr>
          <w:p>
            <w:r>
              <w:rPr>
                <w:rFonts w:hint="eastAsia"/>
              </w:rPr>
              <w:t>□未完成审核计划</w:t>
            </w:r>
          </w:p>
        </w:tc>
        <w:tc>
          <w:tcPr>
            <w:tcW w:w="5495" w:type="dxa"/>
          </w:tcPr>
          <w:p>
            <w:r>
              <w:rPr>
                <w:rFonts w:hint="eastAsia"/>
              </w:rPr>
              <w:t>未完成的内容和原因是:</w:t>
            </w:r>
          </w:p>
        </w:tc>
      </w:tr>
    </w:tbl>
    <w:p>
      <w:pPr>
        <w:rPr>
          <w:highlight w:val="cyan"/>
        </w:rPr>
      </w:pPr>
    </w:p>
    <w:p>
      <w:r>
        <w:rPr>
          <w:rFonts w:hint="eastAsia"/>
        </w:rPr>
        <w:t>五、审核组成员信息</w:t>
      </w:r>
    </w:p>
    <w:tbl>
      <w:tblPr>
        <w:tblStyle w:val="8"/>
        <w:tblW w:w="975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089"/>
        <w:gridCol w:w="711"/>
        <w:gridCol w:w="387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750"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5"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23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5"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235"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50"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845"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235" w:type="dxa"/>
            <w:vAlign w:val="center"/>
          </w:tcPr>
          <w:p>
            <w:r>
              <w:rPr>
                <w:rFonts w:hint="eastAsia"/>
              </w:rPr>
              <w:t>职务/职称</w:t>
            </w:r>
          </w:p>
        </w:tc>
      </w:tr>
    </w:tbl>
    <w:p/>
    <w:p>
      <w:r>
        <w:rPr>
          <w:rFonts w:hint="eastAsia"/>
        </w:rPr>
        <w:t>六、上次审核后发生的影响组织管理体系的重要变更（适用时）</w:t>
      </w:r>
    </w:p>
    <w:tbl>
      <w:tblPr>
        <w:tblStyle w:val="8"/>
        <w:tblW w:w="975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变更内容</w:t>
            </w:r>
          </w:p>
        </w:tc>
        <w:tc>
          <w:tcPr>
            <w:tcW w:w="7105"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主要负责人变更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注册地址变更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经营地址变更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多场所地址变更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临时场所地址变更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认证范围变更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45" w:type="dxa"/>
            <w:vAlign w:val="center"/>
          </w:tcPr>
          <w:p>
            <w:r>
              <w:rPr>
                <w:rFonts w:hint="eastAsia"/>
              </w:rPr>
              <w:t>体系员工人数较大变更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设备设施重大变更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产品/工艺重大变更</w:t>
            </w:r>
          </w:p>
        </w:tc>
        <w:tc>
          <w:tcPr>
            <w:tcW w:w="710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2645" w:type="dxa"/>
            <w:vAlign w:val="center"/>
          </w:tcPr>
          <w:p>
            <w:r>
              <w:rPr>
                <w:rFonts w:hint="eastAsia"/>
              </w:rPr>
              <w:t>其他</w:t>
            </w:r>
          </w:p>
        </w:tc>
        <w:tc>
          <w:tcPr>
            <w:tcW w:w="7105"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8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shd w:val="clear" w:color="auto" w:fill="D7D7D7" w:themeFill="background1" w:themeFillShade="D8"/>
          </w:tcPr>
          <w:p>
            <w:r>
              <w:rPr>
                <w:rFonts w:hint="eastAsia"/>
              </w:rPr>
              <w:t>审核周期</w:t>
            </w:r>
          </w:p>
        </w:tc>
        <w:tc>
          <w:tcPr>
            <w:tcW w:w="8656"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678"/>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67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67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67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678"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678"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Spec="center" w:tblpY="76"/>
        <w:tblOverlap w:val="never"/>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9"/>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9" w:type="dxa"/>
          </w:tcPr>
          <w:p>
            <w:r>
              <w:rPr>
                <w:rFonts w:hint="eastAsia"/>
              </w:rPr>
              <w:t>影响本次审核结论可靠性的因素</w:t>
            </w:r>
          </w:p>
        </w:tc>
        <w:tc>
          <w:tcPr>
            <w:tcW w:w="4979"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9" w:type="dxa"/>
          </w:tcPr>
          <w:p>
            <w:r>
              <w:rPr>
                <w:rFonts w:hint="eastAsia"/>
              </w:rPr>
              <w:t>□样本量不足</w:t>
            </w:r>
          </w:p>
        </w:tc>
        <w:tc>
          <w:tcPr>
            <w:tcW w:w="49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9" w:type="dxa"/>
          </w:tcPr>
          <w:p>
            <w:r>
              <w:rPr>
                <w:rFonts w:hint="eastAsia"/>
              </w:rPr>
              <w:t>□知识产权保护</w:t>
            </w:r>
          </w:p>
        </w:tc>
        <w:tc>
          <w:tcPr>
            <w:tcW w:w="497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9" w:type="dxa"/>
          </w:tcPr>
          <w:p>
            <w:r>
              <w:rPr>
                <w:rFonts w:hint="eastAsia"/>
              </w:rPr>
              <w:t>□因受审核方信息造成的日数或审核资源不足</w:t>
            </w:r>
          </w:p>
        </w:tc>
        <w:tc>
          <w:tcPr>
            <w:tcW w:w="4979"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201"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941"/>
        <w:gridCol w:w="1689"/>
        <w:gridCol w:w="1535"/>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r>
              <w:rPr>
                <w:rFonts w:hint="eastAsia"/>
              </w:rPr>
              <w:t>体系名称缩写</w:t>
            </w:r>
          </w:p>
        </w:tc>
        <w:tc>
          <w:tcPr>
            <w:tcW w:w="1941" w:type="dxa"/>
          </w:tcPr>
          <w:p>
            <w:r>
              <w:rPr>
                <w:rFonts w:hint="eastAsia"/>
              </w:rPr>
              <w:t>一般不符合数量</w:t>
            </w:r>
          </w:p>
        </w:tc>
        <w:tc>
          <w:tcPr>
            <w:tcW w:w="1689" w:type="dxa"/>
          </w:tcPr>
          <w:p>
            <w:r>
              <w:rPr>
                <w:rFonts w:hint="eastAsia"/>
              </w:rPr>
              <w:t>严重不符合数量</w:t>
            </w:r>
          </w:p>
        </w:tc>
        <w:tc>
          <w:tcPr>
            <w:tcW w:w="1535" w:type="dxa"/>
          </w:tcPr>
          <w:p>
            <w:r>
              <w:rPr>
                <w:rFonts w:hint="eastAsia"/>
              </w:rPr>
              <w:t>不符合项总数</w:t>
            </w:r>
          </w:p>
        </w:tc>
        <w:tc>
          <w:tcPr>
            <w:tcW w:w="270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r>
              <w:rPr>
                <w:rFonts w:hint="eastAsia"/>
              </w:rPr>
              <w:t>QMS</w:t>
            </w:r>
          </w:p>
        </w:tc>
        <w:tc>
          <w:tcPr>
            <w:tcW w:w="1941" w:type="dxa"/>
          </w:tcPr>
          <w:p>
            <w:pPr>
              <w:rPr>
                <w:rFonts w:hint="eastAsia" w:eastAsia="宋体"/>
                <w:lang w:val="en-US" w:eastAsia="zh-CN"/>
              </w:rPr>
            </w:pPr>
            <w:r>
              <w:rPr>
                <w:rFonts w:hint="eastAsia"/>
                <w:lang w:val="en-US" w:eastAsia="zh-CN"/>
              </w:rPr>
              <w:t>0</w:t>
            </w:r>
          </w:p>
        </w:tc>
        <w:tc>
          <w:tcPr>
            <w:tcW w:w="1689" w:type="dxa"/>
          </w:tcPr>
          <w:p>
            <w:pPr>
              <w:rPr>
                <w:rFonts w:hint="eastAsia" w:eastAsia="宋体"/>
                <w:lang w:val="en-US" w:eastAsia="zh-CN"/>
              </w:rPr>
            </w:pPr>
            <w:r>
              <w:rPr>
                <w:rFonts w:hint="eastAsia"/>
                <w:lang w:val="en-US" w:eastAsia="zh-CN"/>
              </w:rPr>
              <w:t>0</w:t>
            </w:r>
          </w:p>
        </w:tc>
        <w:tc>
          <w:tcPr>
            <w:tcW w:w="1535" w:type="dxa"/>
          </w:tcPr>
          <w:p>
            <w:pPr>
              <w:rPr>
                <w:rFonts w:hint="eastAsia" w:eastAsia="宋体"/>
                <w:lang w:val="en-US" w:eastAsia="zh-CN"/>
              </w:rPr>
            </w:pPr>
            <w:r>
              <w:rPr>
                <w:rFonts w:hint="eastAsia"/>
                <w:lang w:val="en-US" w:eastAsia="zh-CN"/>
              </w:rPr>
              <w:t>0</w:t>
            </w:r>
          </w:p>
        </w:tc>
        <w:tc>
          <w:tcPr>
            <w:tcW w:w="2703"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r>
              <w:rPr>
                <w:rFonts w:hint="eastAsia"/>
              </w:rPr>
              <w:t>50430</w:t>
            </w:r>
          </w:p>
        </w:tc>
        <w:tc>
          <w:tcPr>
            <w:tcW w:w="1941" w:type="dxa"/>
          </w:tcPr>
          <w:p>
            <w:pPr>
              <w:rPr>
                <w:rFonts w:hint="eastAsia" w:eastAsia="宋体"/>
                <w:lang w:val="en-US" w:eastAsia="zh-CN"/>
              </w:rPr>
            </w:pPr>
            <w:r>
              <w:rPr>
                <w:rFonts w:hint="eastAsia"/>
                <w:lang w:val="en-US" w:eastAsia="zh-CN"/>
              </w:rPr>
              <w:t>/</w:t>
            </w:r>
          </w:p>
        </w:tc>
        <w:tc>
          <w:tcPr>
            <w:tcW w:w="1689" w:type="dxa"/>
          </w:tcPr>
          <w:p>
            <w:pPr>
              <w:rPr>
                <w:rFonts w:hint="eastAsia" w:eastAsia="宋体"/>
                <w:lang w:val="en-US" w:eastAsia="zh-CN"/>
              </w:rPr>
            </w:pPr>
            <w:r>
              <w:rPr>
                <w:rFonts w:hint="eastAsia"/>
                <w:lang w:val="en-US" w:eastAsia="zh-CN"/>
              </w:rPr>
              <w:t>/</w:t>
            </w:r>
          </w:p>
        </w:tc>
        <w:tc>
          <w:tcPr>
            <w:tcW w:w="1535" w:type="dxa"/>
          </w:tcPr>
          <w:p>
            <w:pPr>
              <w:rPr>
                <w:rFonts w:hint="eastAsia" w:eastAsia="宋体"/>
                <w:lang w:val="en-US" w:eastAsia="zh-CN"/>
              </w:rPr>
            </w:pPr>
            <w:r>
              <w:rPr>
                <w:rFonts w:hint="eastAsia"/>
                <w:lang w:val="en-US" w:eastAsia="zh-CN"/>
              </w:rPr>
              <w:t>/</w:t>
            </w:r>
          </w:p>
        </w:tc>
        <w:tc>
          <w:tcPr>
            <w:tcW w:w="2703"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r>
              <w:rPr>
                <w:rFonts w:hint="eastAsia"/>
              </w:rPr>
              <w:t>EMS</w:t>
            </w:r>
          </w:p>
        </w:tc>
        <w:tc>
          <w:tcPr>
            <w:tcW w:w="1941" w:type="dxa"/>
          </w:tcPr>
          <w:p>
            <w:pPr>
              <w:rPr>
                <w:rFonts w:hint="eastAsia" w:eastAsia="宋体"/>
                <w:lang w:val="en-US" w:eastAsia="zh-CN"/>
              </w:rPr>
            </w:pPr>
            <w:r>
              <w:rPr>
                <w:rFonts w:hint="eastAsia"/>
                <w:lang w:val="en-US" w:eastAsia="zh-CN"/>
              </w:rPr>
              <w:t>0</w:t>
            </w:r>
          </w:p>
        </w:tc>
        <w:tc>
          <w:tcPr>
            <w:tcW w:w="1689" w:type="dxa"/>
          </w:tcPr>
          <w:p>
            <w:pPr>
              <w:rPr>
                <w:rFonts w:hint="eastAsia" w:eastAsia="宋体"/>
                <w:lang w:val="en-US" w:eastAsia="zh-CN"/>
              </w:rPr>
            </w:pPr>
            <w:r>
              <w:rPr>
                <w:rFonts w:hint="eastAsia"/>
                <w:lang w:val="en-US" w:eastAsia="zh-CN"/>
              </w:rPr>
              <w:t>0</w:t>
            </w:r>
          </w:p>
        </w:tc>
        <w:tc>
          <w:tcPr>
            <w:tcW w:w="1535" w:type="dxa"/>
          </w:tcPr>
          <w:p>
            <w:pPr>
              <w:rPr>
                <w:rFonts w:hint="eastAsia" w:eastAsia="宋体"/>
                <w:lang w:val="en-US" w:eastAsia="zh-CN"/>
              </w:rPr>
            </w:pPr>
            <w:r>
              <w:rPr>
                <w:rFonts w:hint="eastAsia"/>
                <w:lang w:val="en-US" w:eastAsia="zh-CN"/>
              </w:rPr>
              <w:t>0</w:t>
            </w:r>
          </w:p>
        </w:tc>
        <w:tc>
          <w:tcPr>
            <w:tcW w:w="2703"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Pr>
          <w:p>
            <w:r>
              <w:rPr>
                <w:rFonts w:hint="eastAsia"/>
              </w:rPr>
              <w:t>OHSMS</w:t>
            </w:r>
          </w:p>
        </w:tc>
        <w:tc>
          <w:tcPr>
            <w:tcW w:w="1941" w:type="dxa"/>
          </w:tcPr>
          <w:p>
            <w:pPr>
              <w:rPr>
                <w:rFonts w:hint="eastAsia" w:eastAsia="宋体"/>
                <w:lang w:val="en-US" w:eastAsia="zh-CN"/>
              </w:rPr>
            </w:pPr>
            <w:r>
              <w:rPr>
                <w:rFonts w:hint="eastAsia"/>
                <w:lang w:val="en-US" w:eastAsia="zh-CN"/>
              </w:rPr>
              <w:t>0</w:t>
            </w:r>
          </w:p>
        </w:tc>
        <w:tc>
          <w:tcPr>
            <w:tcW w:w="1689" w:type="dxa"/>
          </w:tcPr>
          <w:p>
            <w:pPr>
              <w:rPr>
                <w:rFonts w:hint="eastAsia" w:eastAsia="宋体"/>
                <w:lang w:val="en-US" w:eastAsia="zh-CN"/>
              </w:rPr>
            </w:pPr>
            <w:r>
              <w:rPr>
                <w:rFonts w:hint="eastAsia"/>
                <w:lang w:val="en-US" w:eastAsia="zh-CN"/>
              </w:rPr>
              <w:t>0</w:t>
            </w:r>
          </w:p>
        </w:tc>
        <w:tc>
          <w:tcPr>
            <w:tcW w:w="1535" w:type="dxa"/>
          </w:tcPr>
          <w:p>
            <w:pPr>
              <w:rPr>
                <w:rFonts w:hint="eastAsia" w:eastAsia="宋体"/>
                <w:lang w:val="en-US" w:eastAsia="zh-CN"/>
              </w:rPr>
            </w:pPr>
            <w:r>
              <w:rPr>
                <w:rFonts w:hint="eastAsia"/>
                <w:lang w:val="en-US" w:eastAsia="zh-CN"/>
              </w:rPr>
              <w:t>0</w:t>
            </w:r>
          </w:p>
        </w:tc>
        <w:tc>
          <w:tcPr>
            <w:tcW w:w="2703"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201" w:tblpY="120"/>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105"/>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45" w:type="dxa"/>
            <w:shd w:val="clear" w:color="auto" w:fill="auto"/>
          </w:tcPr>
          <w:p>
            <w:r>
              <w:rPr>
                <w:rFonts w:hint="eastAsia"/>
              </w:rPr>
              <w:t>推荐内容</w:t>
            </w:r>
          </w:p>
        </w:tc>
        <w:tc>
          <w:tcPr>
            <w:tcW w:w="7691"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45" w:type="dxa"/>
            <w:vMerge w:val="restart"/>
            <w:shd w:val="clear" w:color="auto" w:fill="auto"/>
          </w:tcPr>
          <w:p>
            <w:r>
              <w:rPr>
                <w:rFonts w:hint="eastAsia"/>
              </w:rPr>
              <w:t>管理体系评价</w:t>
            </w:r>
          </w:p>
        </w:tc>
        <w:tc>
          <w:tcPr>
            <w:tcW w:w="7691"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45" w:type="dxa"/>
            <w:vMerge w:val="continue"/>
            <w:shd w:val="clear" w:color="auto" w:fill="auto"/>
          </w:tcPr>
          <w:p/>
        </w:tc>
        <w:tc>
          <w:tcPr>
            <w:tcW w:w="7691"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45" w:type="dxa"/>
            <w:vMerge w:val="continue"/>
            <w:shd w:val="clear" w:color="auto" w:fill="auto"/>
          </w:tcPr>
          <w:p/>
        </w:tc>
        <w:tc>
          <w:tcPr>
            <w:tcW w:w="7691"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45" w:type="dxa"/>
            <w:vMerge w:val="continue"/>
            <w:shd w:val="clear" w:color="auto" w:fill="auto"/>
          </w:tcPr>
          <w:p/>
        </w:tc>
        <w:tc>
          <w:tcPr>
            <w:tcW w:w="7691"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045" w:type="dxa"/>
            <w:vMerge w:val="restart"/>
            <w:shd w:val="clear" w:color="auto" w:fill="auto"/>
          </w:tcPr>
          <w:p>
            <w:r>
              <w:rPr>
                <w:rFonts w:hint="eastAsia"/>
              </w:rPr>
              <w:t>对审核范围适宜性结论</w:t>
            </w:r>
          </w:p>
          <w:p/>
        </w:tc>
        <w:tc>
          <w:tcPr>
            <w:tcW w:w="7691"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45" w:type="dxa"/>
            <w:vMerge w:val="continue"/>
            <w:shd w:val="clear" w:color="auto" w:fill="auto"/>
          </w:tcPr>
          <w:p/>
        </w:tc>
        <w:tc>
          <w:tcPr>
            <w:tcW w:w="7691"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45" w:type="dxa"/>
            <w:vMerge w:val="continue"/>
            <w:shd w:val="clear" w:color="auto" w:fill="auto"/>
          </w:tcPr>
          <w:p/>
        </w:tc>
        <w:tc>
          <w:tcPr>
            <w:tcW w:w="1105" w:type="dxa"/>
            <w:shd w:val="clear" w:color="auto" w:fill="auto"/>
          </w:tcPr>
          <w:p>
            <w:r>
              <w:rPr>
                <w:rFonts w:hint="eastAsia"/>
              </w:rPr>
              <w:t>QMS</w:t>
            </w:r>
          </w:p>
          <w:p/>
        </w:tc>
        <w:tc>
          <w:tcPr>
            <w:tcW w:w="6586"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45" w:type="dxa"/>
            <w:vMerge w:val="continue"/>
            <w:shd w:val="clear" w:color="auto" w:fill="auto"/>
          </w:tcPr>
          <w:p/>
        </w:tc>
        <w:tc>
          <w:tcPr>
            <w:tcW w:w="1105" w:type="dxa"/>
            <w:shd w:val="clear" w:color="auto" w:fill="auto"/>
          </w:tcPr>
          <w:p>
            <w:r>
              <w:rPr>
                <w:rFonts w:hint="eastAsia"/>
              </w:rPr>
              <w:t>EcMS</w:t>
            </w:r>
          </w:p>
        </w:tc>
        <w:tc>
          <w:tcPr>
            <w:tcW w:w="6586"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045" w:type="dxa"/>
            <w:vMerge w:val="continue"/>
            <w:shd w:val="clear" w:color="auto" w:fill="auto"/>
          </w:tcPr>
          <w:p/>
        </w:tc>
        <w:tc>
          <w:tcPr>
            <w:tcW w:w="1105" w:type="dxa"/>
            <w:shd w:val="clear" w:color="auto" w:fill="auto"/>
          </w:tcPr>
          <w:p>
            <w:pPr>
              <w:rPr>
                <w:lang w:val="en-GB"/>
              </w:rPr>
            </w:pPr>
            <w:r>
              <w:rPr>
                <w:rFonts w:hint="eastAsia"/>
              </w:rPr>
              <w:t>EMS</w:t>
            </w:r>
          </w:p>
          <w:p/>
        </w:tc>
        <w:tc>
          <w:tcPr>
            <w:tcW w:w="6586"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45" w:type="dxa"/>
            <w:vMerge w:val="continue"/>
            <w:shd w:val="clear" w:color="auto" w:fill="auto"/>
          </w:tcPr>
          <w:p/>
        </w:tc>
        <w:tc>
          <w:tcPr>
            <w:tcW w:w="1105" w:type="dxa"/>
            <w:shd w:val="clear" w:color="auto" w:fill="auto"/>
          </w:tcPr>
          <w:p>
            <w:pPr>
              <w:rPr>
                <w:lang w:val="en-GB"/>
              </w:rPr>
            </w:pPr>
            <w:r>
              <w:rPr>
                <w:rFonts w:hint="eastAsia"/>
              </w:rPr>
              <w:t>OHSMS</w:t>
            </w:r>
          </w:p>
          <w:p/>
        </w:tc>
        <w:tc>
          <w:tcPr>
            <w:tcW w:w="6586"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045" w:type="dxa"/>
            <w:vMerge w:val="restart"/>
            <w:shd w:val="clear" w:color="auto" w:fill="auto"/>
          </w:tcPr>
          <w:p>
            <w:r>
              <w:rPr>
                <w:rFonts w:hint="eastAsia"/>
              </w:rPr>
              <w:t>审核组推荐意见</w:t>
            </w:r>
          </w:p>
          <w:p/>
        </w:tc>
        <w:tc>
          <w:tcPr>
            <w:tcW w:w="7691"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45" w:type="dxa"/>
            <w:vMerge w:val="continue"/>
            <w:shd w:val="clear" w:color="auto" w:fill="auto"/>
          </w:tcPr>
          <w:p/>
        </w:tc>
        <w:tc>
          <w:tcPr>
            <w:tcW w:w="7691"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045" w:type="dxa"/>
            <w:vMerge w:val="continue"/>
            <w:shd w:val="clear" w:color="auto" w:fill="auto"/>
          </w:tcPr>
          <w:p/>
        </w:tc>
        <w:tc>
          <w:tcPr>
            <w:tcW w:w="7691"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045" w:type="dxa"/>
            <w:vMerge w:val="continue"/>
            <w:shd w:val="clear" w:color="auto" w:fill="auto"/>
          </w:tcPr>
          <w:p/>
        </w:tc>
        <w:tc>
          <w:tcPr>
            <w:tcW w:w="7691"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045" w:type="dxa"/>
            <w:vMerge w:val="continue"/>
            <w:shd w:val="clear" w:color="auto" w:fill="auto"/>
          </w:tcPr>
          <w:p/>
        </w:tc>
        <w:tc>
          <w:tcPr>
            <w:tcW w:w="7691"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045" w:type="dxa"/>
            <w:vMerge w:val="continue"/>
            <w:shd w:val="clear" w:color="auto" w:fill="auto"/>
          </w:tcPr>
          <w:p/>
        </w:tc>
        <w:tc>
          <w:tcPr>
            <w:tcW w:w="7691"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045" w:type="dxa"/>
            <w:vMerge w:val="continue"/>
            <w:shd w:val="clear" w:color="auto" w:fill="auto"/>
          </w:tcPr>
          <w:p/>
        </w:tc>
        <w:tc>
          <w:tcPr>
            <w:tcW w:w="7691"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45" w:type="dxa"/>
            <w:vMerge w:val="continue"/>
            <w:shd w:val="clear" w:color="auto" w:fill="auto"/>
          </w:tcPr>
          <w:p/>
        </w:tc>
        <w:tc>
          <w:tcPr>
            <w:tcW w:w="7691"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45" w:type="dxa"/>
            <w:vMerge w:val="continue"/>
            <w:shd w:val="clear" w:color="auto" w:fill="auto"/>
          </w:tcPr>
          <w:p/>
        </w:tc>
        <w:tc>
          <w:tcPr>
            <w:tcW w:w="7691"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736"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45"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7691"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45"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7691"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7"/>
        <w:gridCol w:w="2451"/>
        <w:gridCol w:w="2764"/>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2057" w:type="dxa"/>
            <w:vAlign w:val="center"/>
          </w:tcPr>
          <w:p>
            <w:pPr>
              <w:rPr>
                <w:rFonts w:ascii="宋体"/>
                <w:b/>
                <w:color w:val="0000FF"/>
                <w:szCs w:val="21"/>
              </w:rPr>
            </w:pPr>
            <w:r>
              <w:rPr>
                <w:rFonts w:hint="eastAsia" w:ascii="宋体"/>
                <w:b/>
                <w:color w:val="0000FF"/>
                <w:szCs w:val="21"/>
              </w:rPr>
              <w:t>突发事件的处置措施</w:t>
            </w:r>
          </w:p>
        </w:tc>
        <w:tc>
          <w:tcPr>
            <w:tcW w:w="7691"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exact"/>
        </w:trPr>
        <w:tc>
          <w:tcPr>
            <w:tcW w:w="2057" w:type="dxa"/>
            <w:vMerge w:val="restart"/>
            <w:vAlign w:val="center"/>
          </w:tcPr>
          <w:p>
            <w:pPr>
              <w:rPr>
                <w:rFonts w:ascii="宋体"/>
                <w:b/>
                <w:color w:val="0000FF"/>
                <w:szCs w:val="21"/>
              </w:rPr>
            </w:pPr>
            <w:r>
              <w:rPr>
                <w:rFonts w:hint="eastAsia"/>
                <w:b/>
                <w:bCs/>
                <w:color w:val="0000FF"/>
              </w:rPr>
              <w:t>远程审核的有效性评价（适用时）</w:t>
            </w:r>
          </w:p>
        </w:tc>
        <w:tc>
          <w:tcPr>
            <w:tcW w:w="7691"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057" w:type="dxa"/>
            <w:vMerge w:val="continue"/>
            <w:vAlign w:val="center"/>
          </w:tcPr>
          <w:p>
            <w:pPr>
              <w:rPr>
                <w:rFonts w:ascii="宋体"/>
                <w:b/>
                <w:color w:val="0000FF"/>
                <w:szCs w:val="21"/>
              </w:rPr>
            </w:pPr>
          </w:p>
        </w:tc>
        <w:tc>
          <w:tcPr>
            <w:tcW w:w="7691"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2057" w:type="dxa"/>
            <w:vAlign w:val="center"/>
          </w:tcPr>
          <w:p>
            <w:pPr>
              <w:jc w:val="both"/>
            </w:pPr>
            <w:r>
              <w:rPr>
                <w:rFonts w:hint="eastAsia" w:ascii="Times New Roman" w:hAnsi="Times New Roman" w:cs="Times New Roman"/>
              </w:rPr>
              <w:t>审核组长签字</w:t>
            </w:r>
          </w:p>
        </w:tc>
        <w:tc>
          <w:tcPr>
            <w:tcW w:w="2451" w:type="dxa"/>
            <w:tcMar>
              <w:left w:w="113" w:type="dxa"/>
            </w:tcMar>
            <w:vAlign w:val="center"/>
          </w:tcPr>
          <w:p>
            <w:pPr>
              <w:jc w:val="both"/>
            </w:pP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100965</wp:posOffset>
                  </wp:positionH>
                  <wp:positionV relativeFrom="paragraph">
                    <wp:posOffset>13335</wp:posOffset>
                  </wp:positionV>
                  <wp:extent cx="939800" cy="566420"/>
                  <wp:effectExtent l="0" t="0" r="12700" b="508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39800" cy="566420"/>
                          </a:xfrm>
                          <a:prstGeom prst="rect">
                            <a:avLst/>
                          </a:prstGeom>
                          <a:noFill/>
                          <a:ln>
                            <a:noFill/>
                          </a:ln>
                        </pic:spPr>
                      </pic:pic>
                    </a:graphicData>
                  </a:graphic>
                </wp:anchor>
              </w:drawing>
            </w:r>
          </w:p>
          <w:p>
            <w:pPr>
              <w:jc w:val="both"/>
            </w:pPr>
          </w:p>
        </w:tc>
        <w:tc>
          <w:tcPr>
            <w:tcW w:w="2764" w:type="dxa"/>
            <w:tcMar>
              <w:left w:w="113" w:type="dxa"/>
            </w:tcMar>
            <w:vAlign w:val="center"/>
          </w:tcPr>
          <w:p>
            <w:pPr>
              <w:jc w:val="both"/>
            </w:pPr>
            <w:r>
              <w:rPr>
                <w:rFonts w:hint="eastAsia"/>
              </w:rPr>
              <w:t>日期</w:t>
            </w:r>
          </w:p>
        </w:tc>
        <w:tc>
          <w:tcPr>
            <w:tcW w:w="247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2022.10.14</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9"/>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094"/>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094" w:type="dxa"/>
            <w:shd w:val="clear" w:color="auto" w:fill="C7DAF1" w:themeFill="text2" w:themeFillTint="32"/>
          </w:tcPr>
          <w:p>
            <w:pPr>
              <w:shd w:val="clear" w:color="auto" w:fill="C7DAF1" w:themeFill="text2" w:themeFillTint="32"/>
            </w:pPr>
            <w:r>
              <w:rPr>
                <w:rFonts w:hint="eastAsia"/>
              </w:rPr>
              <w:t>审核周期</w:t>
            </w:r>
          </w:p>
        </w:tc>
        <w:tc>
          <w:tcPr>
            <w:tcW w:w="8635"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shd w:val="clear" w:color="auto" w:fill="C7DAF1" w:themeFill="text2" w:themeFillTint="32"/>
          </w:tcPr>
          <w:p>
            <w:pPr>
              <w:shd w:val="clear" w:color="auto" w:fill="C7DAF1" w:themeFill="text2" w:themeFillTint="32"/>
            </w:pPr>
            <w:r>
              <w:rPr>
                <w:rFonts w:hint="eastAsia"/>
              </w:rPr>
              <w:t>体系要素</w:t>
            </w:r>
          </w:p>
        </w:tc>
        <w:tc>
          <w:tcPr>
            <w:tcW w:w="8635"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restart"/>
            <w:shd w:val="clear" w:color="auto" w:fill="C7DAF1" w:themeFill="text2" w:themeFillTint="32"/>
          </w:tcPr>
          <w:p>
            <w:pPr>
              <w:shd w:val="clear" w:color="auto" w:fill="C7DAF1" w:themeFill="text2" w:themeFillTint="32"/>
            </w:pPr>
            <w:r>
              <w:rPr>
                <w:rFonts w:hint="eastAsia"/>
              </w:rPr>
              <w:t>组织环境</w:t>
            </w:r>
          </w:p>
        </w:tc>
        <w:tc>
          <w:tcPr>
            <w:tcW w:w="8635"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领导作用</w:t>
            </w:r>
          </w:p>
        </w:tc>
        <w:tc>
          <w:tcPr>
            <w:tcW w:w="8635"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rFonts w:hint="eastAsia"/>
                <w:u w:val="single"/>
              </w:rPr>
            </w:pPr>
            <w:r>
              <w:rPr>
                <w:rFonts w:hint="eastAsia"/>
                <w:u w:val="single"/>
              </w:rPr>
              <w:t>预防为主，降低风险；遵章守法，创造和谐</w:t>
            </w:r>
          </w:p>
          <w:p>
            <w:pPr>
              <w:pStyle w:val="2"/>
            </w:pPr>
          </w:p>
          <w:p>
            <w:pPr>
              <w:shd w:val="clear" w:color="auto" w:fill="C7DAF1" w:themeFill="text2" w:themeFillTint="32"/>
              <w:rPr>
                <w:rFonts w:hint="eastAsia"/>
                <w:lang w:val="en-GB"/>
              </w:rPr>
            </w:pPr>
            <w:r>
              <w:rPr>
                <w:rFonts w:hint="eastAsia"/>
                <w:lang w:val="en-GB"/>
              </w:rPr>
              <w:t>质量方针合理恰当并为相应的质量目标提供了框架。</w:t>
            </w:r>
          </w:p>
          <w:p>
            <w:pPr>
              <w:shd w:val="clear" w:color="auto" w:fill="C7DAF1" w:themeFill="text2" w:themeFillTint="32"/>
            </w:pP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供销部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策划</w:t>
            </w:r>
          </w:p>
        </w:tc>
        <w:tc>
          <w:tcPr>
            <w:tcW w:w="8635"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391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市场竞争</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3"/>
              <w:gridCol w:w="3097"/>
              <w:gridCol w:w="146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48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0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交货及时率≥95%</w:t>
                  </w:r>
                </w:p>
              </w:tc>
              <w:tc>
                <w:tcPr>
                  <w:tcW w:w="3136" w:type="dxa"/>
                  <w:shd w:val="clear" w:color="auto" w:fill="auto"/>
                  <w:vAlign w:val="top"/>
                </w:tcPr>
                <w:p>
                  <w:pPr>
                    <w:spacing w:after="0" w:line="220" w:lineRule="atLeast"/>
                    <w:rPr>
                      <w:lang w:val="en-GB"/>
                    </w:rPr>
                  </w:pPr>
                  <w:r>
                    <w:rPr>
                      <w:rFonts w:hint="eastAsia"/>
                      <w:sz w:val="21"/>
                      <w:szCs w:val="21"/>
                    </w:rPr>
                    <w:t>合格数÷总数×100%</w:t>
                  </w:r>
                </w:p>
              </w:tc>
              <w:tc>
                <w:tcPr>
                  <w:tcW w:w="148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供销部</w:t>
                  </w:r>
                </w:p>
              </w:tc>
              <w:tc>
                <w:tcPr>
                  <w:tcW w:w="1705"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顾客满意度≥92%</w:t>
                  </w:r>
                </w:p>
              </w:tc>
              <w:tc>
                <w:tcPr>
                  <w:tcW w:w="3136" w:type="dxa"/>
                  <w:shd w:val="clear" w:color="auto" w:fill="auto"/>
                  <w:vAlign w:val="top"/>
                </w:tcPr>
                <w:p>
                  <w:pPr>
                    <w:spacing w:after="0" w:line="220" w:lineRule="atLeast"/>
                    <w:rPr>
                      <w:rFonts w:ascii="宋体" w:hAnsi="宋体"/>
                    </w:rPr>
                  </w:pPr>
                  <w:r>
                    <w:rPr>
                      <w:rFonts w:hint="eastAsia"/>
                      <w:sz w:val="21"/>
                      <w:szCs w:val="21"/>
                    </w:rPr>
                    <w:t>评定数÷总数×100%</w:t>
                  </w:r>
                </w:p>
              </w:tc>
              <w:tc>
                <w:tcPr>
                  <w:tcW w:w="1484" w:type="dxa"/>
                  <w:shd w:val="clear" w:color="auto" w:fill="auto"/>
                  <w:vAlign w:val="center"/>
                </w:tcPr>
                <w:p>
                  <w:pPr>
                    <w:shd w:val="clear" w:color="auto" w:fill="C7DAF1" w:themeFill="text2" w:themeFillTint="32"/>
                    <w:rPr>
                      <w:rFonts w:ascii="宋体" w:hAnsi="宋体"/>
                    </w:rPr>
                  </w:pPr>
                  <w:r>
                    <w:rPr>
                      <w:rFonts w:hint="eastAsia"/>
                      <w:lang w:val="en-GB" w:eastAsia="zh-CN"/>
                    </w:rPr>
                    <w:t>供销部</w:t>
                  </w:r>
                </w:p>
              </w:tc>
              <w:tc>
                <w:tcPr>
                  <w:tcW w:w="170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705"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restart"/>
            <w:shd w:val="clear" w:color="auto" w:fill="C7DAF1" w:themeFill="text2" w:themeFillTint="32"/>
          </w:tcPr>
          <w:p>
            <w:pPr>
              <w:shd w:val="clear" w:color="auto" w:fill="C7DAF1" w:themeFill="text2" w:themeFillTint="32"/>
            </w:pPr>
            <w:r>
              <w:rPr>
                <w:rFonts w:hint="eastAsia"/>
              </w:rPr>
              <w:t>支持</w:t>
            </w:r>
          </w:p>
        </w:tc>
        <w:tc>
          <w:tcPr>
            <w:tcW w:w="8635"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270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游标卡尺、钢卷尺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restart"/>
            <w:shd w:val="clear" w:color="auto" w:fill="C7DAF1" w:themeFill="text2" w:themeFillTint="32"/>
          </w:tcPr>
          <w:p>
            <w:pPr>
              <w:shd w:val="clear" w:color="auto" w:fill="C7DAF1" w:themeFill="text2" w:themeFillTint="32"/>
            </w:pPr>
            <w:r>
              <w:rPr>
                <w:rFonts w:hint="eastAsia"/>
              </w:rPr>
              <w:t>运行</w:t>
            </w:r>
          </w:p>
        </w:tc>
        <w:tc>
          <w:tcPr>
            <w:tcW w:w="8635"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5"/>
              <w:gridCol w:w="110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5" w:type="dxa"/>
                </w:tcPr>
                <w:p>
                  <w:pPr>
                    <w:shd w:val="clear" w:color="auto" w:fill="C7DAF1" w:themeFill="text2" w:themeFillTint="32"/>
                    <w:jc w:val="left"/>
                  </w:pPr>
                  <w:r>
                    <w:rPr>
                      <w:rFonts w:hint="eastAsia"/>
                    </w:rPr>
                    <w:t>产品/服务名称</w:t>
                  </w:r>
                </w:p>
              </w:tc>
              <w:tc>
                <w:tcPr>
                  <w:tcW w:w="1104" w:type="dxa"/>
                </w:tcPr>
                <w:p>
                  <w:pPr>
                    <w:shd w:val="clear" w:color="auto" w:fill="C7DAF1" w:themeFill="text2" w:themeFillTint="32"/>
                    <w:jc w:val="left"/>
                  </w:pPr>
                  <w:r>
                    <w:rPr>
                      <w:rFonts w:hint="eastAsia"/>
                    </w:rPr>
                    <w:t>关键过程</w:t>
                  </w:r>
                </w:p>
              </w:tc>
              <w:tc>
                <w:tcPr>
                  <w:tcW w:w="168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Pr>
                <w:p>
                  <w:pPr>
                    <w:shd w:val="clear" w:color="auto" w:fill="C7DAF1" w:themeFill="text2" w:themeFillTint="32"/>
                    <w:jc w:val="left"/>
                  </w:pPr>
                  <w:r>
                    <w:rPr>
                      <w:rFonts w:hint="eastAsia"/>
                    </w:rPr>
                    <w:t>金属制品（智能型密集架、书架、整容台、解剖台、智能型骨灰存放架）、安防设备（电子监控设备、智能枪弹柜、智能装备柜）、制冷设备（太平柜、冷冻柜、化冻柜、水晶棺、瞻仰台）、熔炉（火化炉、遗物焚烧炉、祭祀炉）、环境保护专用设备（尾气处理设备、空气净化装置、污水处理设备）、显示器件（电子显示屏）的销售</w:t>
                  </w:r>
                </w:p>
              </w:tc>
              <w:tc>
                <w:tcPr>
                  <w:tcW w:w="1104" w:type="dxa"/>
                </w:tcPr>
                <w:p>
                  <w:pPr>
                    <w:shd w:val="clear" w:color="auto" w:fill="C7DAF1" w:themeFill="text2" w:themeFillTint="32"/>
                    <w:jc w:val="left"/>
                    <w:rPr>
                      <w:rFonts w:hint="eastAsia" w:eastAsia="宋体"/>
                      <w:lang w:eastAsia="zh-CN"/>
                    </w:rPr>
                  </w:pPr>
                  <w:r>
                    <w:rPr>
                      <w:rFonts w:hint="eastAsia"/>
                      <w:lang w:eastAsia="zh-CN"/>
                    </w:rPr>
                    <w:t>销售</w:t>
                  </w:r>
                </w:p>
              </w:tc>
              <w:tc>
                <w:tcPr>
                  <w:tcW w:w="1680" w:type="dxa"/>
                </w:tcPr>
                <w:p>
                  <w:pPr>
                    <w:shd w:val="clear" w:color="auto" w:fill="C7DAF1" w:themeFill="text2" w:themeFillTint="32"/>
                    <w:jc w:val="left"/>
                    <w:rPr>
                      <w:rFonts w:hint="eastAsia" w:eastAsia="宋体"/>
                      <w:lang w:eastAsia="zh-CN"/>
                    </w:rPr>
                  </w:pPr>
                  <w:r>
                    <w:rPr>
                      <w:rFonts w:hint="eastAsia"/>
                      <w:lang w:eastAsia="zh-CN"/>
                    </w:rPr>
                    <w:t>时间、态度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5" w:type="dxa"/>
                </w:tcPr>
                <w:p>
                  <w:pPr>
                    <w:shd w:val="clear" w:color="auto" w:fill="C7DAF1" w:themeFill="text2" w:themeFillTint="32"/>
                    <w:jc w:val="left"/>
                  </w:pPr>
                </w:p>
              </w:tc>
              <w:tc>
                <w:tcPr>
                  <w:tcW w:w="1104" w:type="dxa"/>
                </w:tcPr>
                <w:p>
                  <w:pPr>
                    <w:shd w:val="clear" w:color="auto" w:fill="C7DAF1" w:themeFill="text2" w:themeFillTint="32"/>
                    <w:jc w:val="left"/>
                  </w:pPr>
                </w:p>
              </w:tc>
              <w:tc>
                <w:tcPr>
                  <w:tcW w:w="1680"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绩效评价</w:t>
            </w:r>
          </w:p>
        </w:tc>
        <w:tc>
          <w:tcPr>
            <w:tcW w:w="8635"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通过年度策划于2022年8月17-18日实施了质量管理体系内部审核，对质量管理体系的符合性和有效性进行了审核。内审发现的项不符合在本次审核前已完成整改。在公司内完成的这些审核是可信的。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最高管理者已按策划的时间间隔，在2022年08月26日对组织的质量管理体系进行了评审，以确保其持续的适宜性、充分性和有效性；管理评审输入、输出均按要求提供。并对提出的改进措施进行了落实。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restart"/>
            <w:shd w:val="clear" w:color="auto" w:fill="C7DAF1" w:themeFill="text2" w:themeFillTint="32"/>
          </w:tcPr>
          <w:p>
            <w:pPr>
              <w:shd w:val="clear" w:color="auto" w:fill="C7DAF1" w:themeFill="text2" w:themeFillTint="32"/>
            </w:pPr>
            <w:r>
              <w:rPr>
                <w:rFonts w:hint="eastAsia"/>
              </w:rPr>
              <w:t>改进</w:t>
            </w:r>
          </w:p>
        </w:tc>
        <w:tc>
          <w:tcPr>
            <w:tcW w:w="8635"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094" w:type="dxa"/>
            <w:vMerge w:val="continue"/>
            <w:shd w:val="clear" w:color="auto" w:fill="C7DAF1" w:themeFill="text2" w:themeFillTint="32"/>
          </w:tcPr>
          <w:p>
            <w:pPr>
              <w:shd w:val="clear" w:color="auto" w:fill="C7DAF1" w:themeFill="text2" w:themeFillTint="32"/>
            </w:pPr>
          </w:p>
        </w:tc>
        <w:tc>
          <w:tcPr>
            <w:tcW w:w="8635"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72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676"/>
        <w:gridCol w:w="676"/>
        <w:gridCol w:w="676"/>
        <w:gridCol w:w="676"/>
        <w:gridCol w:w="676"/>
        <w:gridCol w:w="676"/>
        <w:gridCol w:w="676"/>
        <w:gridCol w:w="676"/>
        <w:gridCol w:w="676"/>
        <w:gridCol w:w="676"/>
        <w:gridCol w:w="676"/>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标准条款</w:t>
            </w:r>
          </w:p>
        </w:tc>
        <w:tc>
          <w:tcPr>
            <w:tcW w:w="676" w:type="dxa"/>
            <w:vAlign w:val="center"/>
          </w:tcPr>
          <w:p>
            <w:pPr>
              <w:shd w:val="clear" w:color="auto" w:fill="C7DAF1" w:themeFill="text2" w:themeFillTint="32"/>
              <w:rPr>
                <w:lang w:eastAsia="ja-JP"/>
              </w:rPr>
            </w:pPr>
            <w:r>
              <w:rPr>
                <w:rFonts w:hint="eastAsia"/>
              </w:rPr>
              <w:t>4.1</w:t>
            </w:r>
          </w:p>
        </w:tc>
        <w:tc>
          <w:tcPr>
            <w:tcW w:w="676" w:type="dxa"/>
            <w:vAlign w:val="center"/>
          </w:tcPr>
          <w:p>
            <w:pPr>
              <w:shd w:val="clear" w:color="auto" w:fill="C7DAF1" w:themeFill="text2" w:themeFillTint="32"/>
              <w:rPr>
                <w:lang w:eastAsia="ja-JP"/>
              </w:rPr>
            </w:pPr>
            <w:r>
              <w:rPr>
                <w:rFonts w:hint="eastAsia"/>
              </w:rPr>
              <w:t>4.2</w:t>
            </w:r>
          </w:p>
        </w:tc>
        <w:tc>
          <w:tcPr>
            <w:tcW w:w="676" w:type="dxa"/>
            <w:vAlign w:val="center"/>
          </w:tcPr>
          <w:p>
            <w:pPr>
              <w:shd w:val="clear" w:color="auto" w:fill="C7DAF1" w:themeFill="text2" w:themeFillTint="32"/>
              <w:rPr>
                <w:lang w:eastAsia="ja-JP"/>
              </w:rPr>
            </w:pPr>
            <w:r>
              <w:rPr>
                <w:rFonts w:hint="eastAsia"/>
              </w:rPr>
              <w:t>4.3</w:t>
            </w:r>
          </w:p>
        </w:tc>
        <w:tc>
          <w:tcPr>
            <w:tcW w:w="676" w:type="dxa"/>
            <w:vAlign w:val="center"/>
          </w:tcPr>
          <w:p>
            <w:pPr>
              <w:shd w:val="clear" w:color="auto" w:fill="C7DAF1" w:themeFill="text2" w:themeFillTint="32"/>
              <w:rPr>
                <w:lang w:eastAsia="ja-JP"/>
              </w:rPr>
            </w:pPr>
            <w:r>
              <w:rPr>
                <w:rFonts w:hint="eastAsia"/>
              </w:rPr>
              <w:t>4.4</w:t>
            </w:r>
          </w:p>
        </w:tc>
        <w:tc>
          <w:tcPr>
            <w:tcW w:w="676" w:type="dxa"/>
            <w:vAlign w:val="center"/>
          </w:tcPr>
          <w:p>
            <w:pPr>
              <w:shd w:val="clear" w:color="auto" w:fill="C7DAF1" w:themeFill="text2" w:themeFillTint="32"/>
              <w:rPr>
                <w:lang w:eastAsia="ja-JP"/>
              </w:rPr>
            </w:pPr>
            <w:r>
              <w:rPr>
                <w:rFonts w:hint="eastAsia"/>
              </w:rPr>
              <w:t>5.1</w:t>
            </w:r>
          </w:p>
        </w:tc>
        <w:tc>
          <w:tcPr>
            <w:tcW w:w="676" w:type="dxa"/>
            <w:vAlign w:val="center"/>
          </w:tcPr>
          <w:p>
            <w:pPr>
              <w:shd w:val="clear" w:color="auto" w:fill="C7DAF1" w:themeFill="text2" w:themeFillTint="32"/>
              <w:rPr>
                <w:lang w:eastAsia="ja-JP"/>
              </w:rPr>
            </w:pPr>
            <w:r>
              <w:rPr>
                <w:rFonts w:hint="eastAsia"/>
              </w:rPr>
              <w:t>5.2</w:t>
            </w:r>
          </w:p>
        </w:tc>
        <w:tc>
          <w:tcPr>
            <w:tcW w:w="676" w:type="dxa"/>
            <w:vAlign w:val="center"/>
          </w:tcPr>
          <w:p>
            <w:pPr>
              <w:shd w:val="clear" w:color="auto" w:fill="C7DAF1" w:themeFill="text2" w:themeFillTint="32"/>
              <w:rPr>
                <w:lang w:eastAsia="ja-JP"/>
              </w:rPr>
            </w:pPr>
            <w:r>
              <w:rPr>
                <w:rFonts w:hint="eastAsia"/>
              </w:rPr>
              <w:t>5.3</w:t>
            </w:r>
          </w:p>
        </w:tc>
        <w:tc>
          <w:tcPr>
            <w:tcW w:w="676" w:type="dxa"/>
            <w:vAlign w:val="center"/>
          </w:tcPr>
          <w:p>
            <w:pPr>
              <w:shd w:val="clear" w:color="auto" w:fill="C7DAF1" w:themeFill="text2" w:themeFillTint="32"/>
              <w:rPr>
                <w:lang w:eastAsia="ja-JP"/>
              </w:rPr>
            </w:pPr>
            <w:r>
              <w:rPr>
                <w:rFonts w:hint="eastAsia"/>
              </w:rPr>
              <w:t>6.1</w:t>
            </w:r>
          </w:p>
        </w:tc>
        <w:tc>
          <w:tcPr>
            <w:tcW w:w="676" w:type="dxa"/>
            <w:vAlign w:val="center"/>
          </w:tcPr>
          <w:p>
            <w:pPr>
              <w:shd w:val="clear" w:color="auto" w:fill="C7DAF1" w:themeFill="text2" w:themeFillTint="32"/>
              <w:rPr>
                <w:lang w:eastAsia="ja-JP"/>
              </w:rPr>
            </w:pPr>
            <w:r>
              <w:rPr>
                <w:rFonts w:hint="eastAsia"/>
              </w:rPr>
              <w:t>6.2</w:t>
            </w:r>
          </w:p>
        </w:tc>
        <w:tc>
          <w:tcPr>
            <w:tcW w:w="676" w:type="dxa"/>
            <w:vAlign w:val="center"/>
          </w:tcPr>
          <w:p>
            <w:pPr>
              <w:shd w:val="clear" w:color="auto" w:fill="C7DAF1" w:themeFill="text2" w:themeFillTint="32"/>
              <w:rPr>
                <w:lang w:eastAsia="ja-JP"/>
              </w:rPr>
            </w:pPr>
            <w:r>
              <w:rPr>
                <w:rFonts w:hint="eastAsia"/>
              </w:rPr>
              <w:t>6.3</w:t>
            </w:r>
          </w:p>
        </w:tc>
        <w:tc>
          <w:tcPr>
            <w:tcW w:w="676" w:type="dxa"/>
            <w:shd w:val="clear" w:color="auto" w:fill="BFBFBF"/>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评价*)</w:t>
            </w:r>
          </w:p>
        </w:tc>
        <w:tc>
          <w:tcPr>
            <w:tcW w:w="67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shd w:val="clear" w:color="auto" w:fill="BFBFBF"/>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pPr>
            <w:r>
              <w:rPr>
                <w:rFonts w:hint="eastAsia"/>
              </w:rPr>
              <w:t>不符合数量</w:t>
            </w: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shd w:val="clear" w:color="auto" w:fill="BFBFBF"/>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标准条款</w:t>
            </w:r>
          </w:p>
        </w:tc>
        <w:tc>
          <w:tcPr>
            <w:tcW w:w="676" w:type="dxa"/>
            <w:vAlign w:val="center"/>
          </w:tcPr>
          <w:p>
            <w:pPr>
              <w:shd w:val="clear" w:color="auto" w:fill="C7DAF1" w:themeFill="text2" w:themeFillTint="32"/>
              <w:rPr>
                <w:lang w:eastAsia="ja-JP"/>
              </w:rPr>
            </w:pPr>
            <w:r>
              <w:rPr>
                <w:rFonts w:hint="eastAsia"/>
              </w:rPr>
              <w:t>7.1</w:t>
            </w:r>
          </w:p>
        </w:tc>
        <w:tc>
          <w:tcPr>
            <w:tcW w:w="676" w:type="dxa"/>
            <w:vAlign w:val="center"/>
          </w:tcPr>
          <w:p>
            <w:pPr>
              <w:shd w:val="clear" w:color="auto" w:fill="C7DAF1" w:themeFill="text2" w:themeFillTint="32"/>
              <w:rPr>
                <w:lang w:eastAsia="ja-JP"/>
              </w:rPr>
            </w:pPr>
            <w:r>
              <w:rPr>
                <w:rFonts w:hint="eastAsia"/>
              </w:rPr>
              <w:t>7.2</w:t>
            </w:r>
          </w:p>
        </w:tc>
        <w:tc>
          <w:tcPr>
            <w:tcW w:w="676" w:type="dxa"/>
            <w:vAlign w:val="center"/>
          </w:tcPr>
          <w:p>
            <w:pPr>
              <w:shd w:val="clear" w:color="auto" w:fill="C7DAF1" w:themeFill="text2" w:themeFillTint="32"/>
              <w:rPr>
                <w:lang w:eastAsia="ja-JP"/>
              </w:rPr>
            </w:pPr>
            <w:r>
              <w:rPr>
                <w:rFonts w:hint="eastAsia"/>
              </w:rPr>
              <w:t>7.3</w:t>
            </w:r>
          </w:p>
        </w:tc>
        <w:tc>
          <w:tcPr>
            <w:tcW w:w="676" w:type="dxa"/>
            <w:vAlign w:val="center"/>
          </w:tcPr>
          <w:p>
            <w:pPr>
              <w:shd w:val="clear" w:color="auto" w:fill="C7DAF1" w:themeFill="text2" w:themeFillTint="32"/>
              <w:rPr>
                <w:lang w:eastAsia="ja-JP"/>
              </w:rPr>
            </w:pPr>
            <w:r>
              <w:rPr>
                <w:rFonts w:hint="eastAsia"/>
              </w:rPr>
              <w:t>7.4</w:t>
            </w:r>
          </w:p>
        </w:tc>
        <w:tc>
          <w:tcPr>
            <w:tcW w:w="676" w:type="dxa"/>
            <w:vAlign w:val="center"/>
          </w:tcPr>
          <w:p>
            <w:pPr>
              <w:shd w:val="clear" w:color="auto" w:fill="C7DAF1" w:themeFill="text2" w:themeFillTint="32"/>
              <w:rPr>
                <w:lang w:eastAsia="ja-JP"/>
              </w:rPr>
            </w:pPr>
            <w:r>
              <w:rPr>
                <w:rFonts w:hint="eastAsia"/>
              </w:rPr>
              <w:t>7.5</w:t>
            </w:r>
          </w:p>
        </w:tc>
        <w:tc>
          <w:tcPr>
            <w:tcW w:w="676" w:type="dxa"/>
            <w:vAlign w:val="center"/>
          </w:tcPr>
          <w:p>
            <w:pPr>
              <w:shd w:val="clear" w:color="auto" w:fill="C7DAF1" w:themeFill="text2" w:themeFillTint="32"/>
              <w:rPr>
                <w:lang w:eastAsia="ja-JP"/>
              </w:rPr>
            </w:pPr>
            <w:r>
              <w:rPr>
                <w:rFonts w:hint="eastAsia"/>
              </w:rPr>
              <w:t>8.1</w:t>
            </w:r>
          </w:p>
        </w:tc>
        <w:tc>
          <w:tcPr>
            <w:tcW w:w="676" w:type="dxa"/>
            <w:vAlign w:val="center"/>
          </w:tcPr>
          <w:p>
            <w:pPr>
              <w:shd w:val="clear" w:color="auto" w:fill="C7DAF1" w:themeFill="text2" w:themeFillTint="32"/>
              <w:rPr>
                <w:lang w:eastAsia="ja-JP"/>
              </w:rPr>
            </w:pPr>
            <w:r>
              <w:rPr>
                <w:rFonts w:hint="eastAsia"/>
              </w:rPr>
              <w:t>8.2</w:t>
            </w:r>
          </w:p>
        </w:tc>
        <w:tc>
          <w:tcPr>
            <w:tcW w:w="676" w:type="dxa"/>
            <w:vAlign w:val="center"/>
          </w:tcPr>
          <w:p>
            <w:pPr>
              <w:shd w:val="clear" w:color="auto" w:fill="C7DAF1" w:themeFill="text2" w:themeFillTint="32"/>
              <w:rPr>
                <w:lang w:eastAsia="ja-JP"/>
              </w:rPr>
            </w:pPr>
            <w:r>
              <w:rPr>
                <w:rFonts w:hint="eastAsia"/>
              </w:rPr>
              <w:t>8.3</w:t>
            </w:r>
          </w:p>
        </w:tc>
        <w:tc>
          <w:tcPr>
            <w:tcW w:w="676" w:type="dxa"/>
            <w:vAlign w:val="center"/>
          </w:tcPr>
          <w:p>
            <w:pPr>
              <w:shd w:val="clear" w:color="auto" w:fill="C7DAF1" w:themeFill="text2" w:themeFillTint="32"/>
              <w:rPr>
                <w:lang w:eastAsia="ja-JP"/>
              </w:rPr>
            </w:pPr>
            <w:r>
              <w:rPr>
                <w:rFonts w:hint="eastAsia"/>
              </w:rPr>
              <w:t>8.4</w:t>
            </w:r>
          </w:p>
        </w:tc>
        <w:tc>
          <w:tcPr>
            <w:tcW w:w="676" w:type="dxa"/>
            <w:vAlign w:val="center"/>
          </w:tcPr>
          <w:p>
            <w:pPr>
              <w:shd w:val="clear" w:color="auto" w:fill="C7DAF1" w:themeFill="text2" w:themeFillTint="32"/>
              <w:rPr>
                <w:lang w:eastAsia="ja-JP"/>
              </w:rPr>
            </w:pPr>
            <w:r>
              <w:rPr>
                <w:rFonts w:hint="eastAsia"/>
              </w:rPr>
              <w:t>8.5</w:t>
            </w:r>
          </w:p>
        </w:tc>
        <w:tc>
          <w:tcPr>
            <w:tcW w:w="676" w:type="dxa"/>
            <w:vAlign w:val="center"/>
          </w:tcPr>
          <w:p>
            <w:pPr>
              <w:shd w:val="clear" w:color="auto" w:fill="C7DAF1" w:themeFill="text2" w:themeFillTint="32"/>
              <w:rPr>
                <w:lang w:eastAsia="ja-JP"/>
              </w:rPr>
            </w:pPr>
            <w:r>
              <w:rPr>
                <w:rFonts w:hint="eastAsia"/>
              </w:rPr>
              <w:t>8.6</w:t>
            </w:r>
          </w:p>
        </w:tc>
        <w:tc>
          <w:tcPr>
            <w:tcW w:w="681"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评价*)</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81"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rPr>
              <w:t>不符合数量</w:t>
            </w: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tcBorders>
              <w:bottom w:val="single" w:color="auto" w:sz="4" w:space="0"/>
            </w:tcBorders>
            <w:vAlign w:val="center"/>
          </w:tcPr>
          <w:p>
            <w:pPr>
              <w:shd w:val="clear" w:color="auto" w:fill="C7DAF1" w:themeFill="text2" w:themeFillTint="32"/>
              <w:rPr>
                <w:lang w:eastAsia="ja-JP"/>
              </w:rPr>
            </w:pPr>
          </w:p>
        </w:tc>
        <w:tc>
          <w:tcPr>
            <w:tcW w:w="676" w:type="dxa"/>
            <w:tcBorders>
              <w:bottom w:val="single" w:color="auto" w:sz="4" w:space="0"/>
            </w:tcBorders>
            <w:vAlign w:val="center"/>
          </w:tcPr>
          <w:p>
            <w:pPr>
              <w:shd w:val="clear" w:color="auto" w:fill="C7DAF1" w:themeFill="text2" w:themeFillTint="32"/>
              <w:rPr>
                <w:lang w:eastAsia="ja-JP"/>
              </w:rPr>
            </w:pPr>
          </w:p>
        </w:tc>
        <w:tc>
          <w:tcPr>
            <w:tcW w:w="676" w:type="dxa"/>
            <w:tcBorders>
              <w:bottom w:val="single" w:color="auto" w:sz="4" w:space="0"/>
            </w:tcBorders>
            <w:vAlign w:val="center"/>
          </w:tcPr>
          <w:p>
            <w:pPr>
              <w:shd w:val="clear" w:color="auto" w:fill="C7DAF1" w:themeFill="text2" w:themeFillTint="32"/>
              <w:rPr>
                <w:lang w:eastAsia="ja-JP"/>
              </w:rPr>
            </w:pPr>
          </w:p>
        </w:tc>
        <w:tc>
          <w:tcPr>
            <w:tcW w:w="676" w:type="dxa"/>
            <w:tcBorders>
              <w:bottom w:val="single" w:color="auto" w:sz="4" w:space="0"/>
            </w:tcBorders>
            <w:vAlign w:val="center"/>
          </w:tcPr>
          <w:p>
            <w:pPr>
              <w:shd w:val="clear" w:color="auto" w:fill="C7DAF1" w:themeFill="text2" w:themeFillTint="32"/>
              <w:rPr>
                <w:lang w:eastAsia="ja-JP"/>
              </w:rPr>
            </w:pPr>
          </w:p>
        </w:tc>
        <w:tc>
          <w:tcPr>
            <w:tcW w:w="676" w:type="dxa"/>
            <w:tcBorders>
              <w:bottom w:val="single" w:color="auto" w:sz="4" w:space="0"/>
            </w:tcBorders>
            <w:vAlign w:val="center"/>
          </w:tcPr>
          <w:p>
            <w:pPr>
              <w:shd w:val="clear" w:color="auto" w:fill="C7DAF1" w:themeFill="text2" w:themeFillTint="32"/>
              <w:rPr>
                <w:lang w:eastAsia="ja-JP"/>
              </w:rPr>
            </w:pPr>
          </w:p>
        </w:tc>
        <w:tc>
          <w:tcPr>
            <w:tcW w:w="681"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标准条款</w:t>
            </w:r>
          </w:p>
        </w:tc>
        <w:tc>
          <w:tcPr>
            <w:tcW w:w="676" w:type="dxa"/>
            <w:vAlign w:val="center"/>
          </w:tcPr>
          <w:p>
            <w:pPr>
              <w:shd w:val="clear" w:color="auto" w:fill="C7DAF1" w:themeFill="text2" w:themeFillTint="32"/>
              <w:rPr>
                <w:lang w:eastAsia="ja-JP"/>
              </w:rPr>
            </w:pPr>
            <w:r>
              <w:rPr>
                <w:rFonts w:hint="eastAsia"/>
              </w:rPr>
              <w:t>9.1</w:t>
            </w:r>
          </w:p>
        </w:tc>
        <w:tc>
          <w:tcPr>
            <w:tcW w:w="676" w:type="dxa"/>
            <w:vAlign w:val="center"/>
          </w:tcPr>
          <w:p>
            <w:pPr>
              <w:shd w:val="clear" w:color="auto" w:fill="C7DAF1" w:themeFill="text2" w:themeFillTint="32"/>
              <w:rPr>
                <w:lang w:eastAsia="ja-JP"/>
              </w:rPr>
            </w:pPr>
            <w:r>
              <w:rPr>
                <w:rFonts w:hint="eastAsia"/>
              </w:rPr>
              <w:t>9.2</w:t>
            </w:r>
          </w:p>
        </w:tc>
        <w:tc>
          <w:tcPr>
            <w:tcW w:w="676" w:type="dxa"/>
            <w:vAlign w:val="center"/>
          </w:tcPr>
          <w:p>
            <w:pPr>
              <w:shd w:val="clear" w:color="auto" w:fill="C7DAF1" w:themeFill="text2" w:themeFillTint="32"/>
              <w:rPr>
                <w:lang w:eastAsia="ja-JP"/>
              </w:rPr>
            </w:pPr>
            <w:r>
              <w:rPr>
                <w:rFonts w:hint="eastAsia"/>
              </w:rPr>
              <w:t>9.3</w:t>
            </w:r>
          </w:p>
        </w:tc>
        <w:tc>
          <w:tcPr>
            <w:tcW w:w="676" w:type="dxa"/>
            <w:vAlign w:val="center"/>
          </w:tcPr>
          <w:p>
            <w:pPr>
              <w:shd w:val="clear" w:color="auto" w:fill="C7DAF1" w:themeFill="text2" w:themeFillTint="32"/>
              <w:rPr>
                <w:lang w:eastAsia="ja-JP"/>
              </w:rPr>
            </w:pPr>
            <w:r>
              <w:rPr>
                <w:rFonts w:hint="eastAsia"/>
              </w:rPr>
              <w:t>10.1</w:t>
            </w:r>
          </w:p>
        </w:tc>
        <w:tc>
          <w:tcPr>
            <w:tcW w:w="676" w:type="dxa"/>
            <w:vAlign w:val="center"/>
          </w:tcPr>
          <w:p>
            <w:pPr>
              <w:shd w:val="clear" w:color="auto" w:fill="C7DAF1" w:themeFill="text2" w:themeFillTint="32"/>
              <w:rPr>
                <w:lang w:eastAsia="ja-JP"/>
              </w:rPr>
            </w:pPr>
            <w:r>
              <w:rPr>
                <w:rFonts w:hint="eastAsia"/>
              </w:rPr>
              <w:t>10.2</w:t>
            </w:r>
          </w:p>
        </w:tc>
        <w:tc>
          <w:tcPr>
            <w:tcW w:w="676" w:type="dxa"/>
            <w:vAlign w:val="center"/>
          </w:tcPr>
          <w:p>
            <w:pPr>
              <w:shd w:val="clear" w:color="auto" w:fill="C7DAF1" w:themeFill="text2" w:themeFillTint="32"/>
              <w:rPr>
                <w:lang w:eastAsia="ja-JP"/>
              </w:rPr>
            </w:pPr>
            <w:r>
              <w:rPr>
                <w:rFonts w:hint="eastAsia"/>
              </w:rPr>
              <w:t>10.3</w:t>
            </w: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lang w:val="en-GB"/>
              </w:rPr>
              <w:t>评价*)</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vAlign w:val="center"/>
          </w:tcPr>
          <w:p>
            <w:pPr>
              <w:shd w:val="clear" w:color="auto" w:fill="C7DAF1" w:themeFill="text2" w:themeFillTint="32"/>
              <w:rPr>
                <w:lang w:eastAsia="ja-JP"/>
              </w:rPr>
            </w:pPr>
            <w:r>
              <w:rPr>
                <w:rFonts w:hint="eastAsia"/>
                <w:lang w:val="en-US" w:eastAsia="zh-CN"/>
              </w:rPr>
              <w:t>1</w:t>
            </w: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09" w:type="dxa"/>
            <w:vAlign w:val="center"/>
          </w:tcPr>
          <w:p>
            <w:pPr>
              <w:shd w:val="clear" w:color="auto" w:fill="C7DAF1" w:themeFill="text2" w:themeFillTint="32"/>
              <w:rPr>
                <w:lang w:eastAsia="ja-JP"/>
              </w:rPr>
            </w:pPr>
            <w:r>
              <w:rPr>
                <w:rFonts w:hint="eastAsia"/>
              </w:rPr>
              <w:t>不符合数量</w:t>
            </w: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76" w:type="dxa"/>
            <w:shd w:val="pct25" w:color="auto" w:fill="auto"/>
            <w:vAlign w:val="center"/>
          </w:tcPr>
          <w:p>
            <w:pPr>
              <w:shd w:val="clear" w:color="auto" w:fill="C7DAF1" w:themeFill="text2" w:themeFillTint="32"/>
              <w:rPr>
                <w:lang w:eastAsia="ja-JP"/>
              </w:rPr>
            </w:pPr>
          </w:p>
        </w:tc>
        <w:tc>
          <w:tcPr>
            <w:tcW w:w="681"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094"/>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shd w:val="clear" w:color="auto" w:fill="EBF1DE" w:themeFill="accent3" w:themeFillTint="32"/>
          </w:tcPr>
          <w:p>
            <w:pPr>
              <w:shd w:val="clear" w:color="auto" w:fill="EBF1DE" w:themeFill="accent3" w:themeFillTint="32"/>
            </w:pPr>
            <w:r>
              <w:rPr>
                <w:rFonts w:hint="eastAsia"/>
              </w:rPr>
              <w:t>审核周期</w:t>
            </w:r>
          </w:p>
        </w:tc>
        <w:tc>
          <w:tcPr>
            <w:tcW w:w="8635"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shd w:val="clear" w:color="auto" w:fill="EBF1DE" w:themeFill="accent3" w:themeFillTint="32"/>
          </w:tcPr>
          <w:p>
            <w:pPr>
              <w:shd w:val="clear" w:color="auto" w:fill="EBF1DE" w:themeFill="accent3" w:themeFillTint="32"/>
            </w:pPr>
            <w:r>
              <w:rPr>
                <w:rFonts w:hint="eastAsia"/>
              </w:rPr>
              <w:t>体系要素</w:t>
            </w:r>
          </w:p>
        </w:tc>
        <w:tc>
          <w:tcPr>
            <w:tcW w:w="8635"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94" w:type="dxa"/>
            <w:vMerge w:val="restart"/>
            <w:shd w:val="clear" w:color="auto" w:fill="EBF1DE" w:themeFill="accent3" w:themeFillTint="32"/>
          </w:tcPr>
          <w:p>
            <w:pPr>
              <w:shd w:val="clear" w:color="auto" w:fill="EBF1DE" w:themeFill="accent3" w:themeFillTint="32"/>
            </w:pPr>
            <w:r>
              <w:rPr>
                <w:rFonts w:hint="eastAsia"/>
              </w:rPr>
              <w:t>组织环境</w:t>
            </w:r>
          </w:p>
        </w:tc>
        <w:tc>
          <w:tcPr>
            <w:tcW w:w="8635"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restart"/>
            <w:shd w:val="clear" w:color="auto" w:fill="EBF1DE" w:themeFill="accent3" w:themeFillTint="32"/>
          </w:tcPr>
          <w:p>
            <w:pPr>
              <w:shd w:val="clear" w:color="auto" w:fill="EBF1DE" w:themeFill="accent3" w:themeFillTint="32"/>
            </w:pPr>
            <w:r>
              <w:rPr>
                <w:rFonts w:hint="eastAsia"/>
              </w:rPr>
              <w:t>领导作用</w:t>
            </w:r>
          </w:p>
        </w:tc>
        <w:tc>
          <w:tcPr>
            <w:tcW w:w="8635"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restart"/>
            <w:shd w:val="clear" w:color="auto" w:fill="EBF1DE" w:themeFill="accent3" w:themeFillTint="32"/>
          </w:tcPr>
          <w:p>
            <w:pPr>
              <w:shd w:val="clear" w:color="auto" w:fill="EBF1DE" w:themeFill="accent3" w:themeFillTint="32"/>
            </w:pPr>
            <w:r>
              <w:rPr>
                <w:rFonts w:hint="eastAsia"/>
              </w:rPr>
              <w:t>策划</w:t>
            </w:r>
          </w:p>
        </w:tc>
        <w:tc>
          <w:tcPr>
            <w:tcW w:w="8635"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390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潜在火灾，固废排放</w:t>
                  </w:r>
                </w:p>
              </w:tc>
              <w:tc>
                <w:tcPr>
                  <w:tcW w:w="3965" w:type="dxa"/>
                </w:tcPr>
                <w:p>
                  <w:pPr>
                    <w:shd w:val="clear" w:color="auto" w:fill="EBF1DE" w:themeFill="accent3" w:themeFillTint="32"/>
                    <w:rPr>
                      <w:rFonts w:hint="eastAsia" w:eastAsia="宋体"/>
                      <w:lang w:eastAsia="zh-CN"/>
                    </w:rPr>
                  </w:pPr>
                  <w:r>
                    <w:rPr>
                      <w:rFonts w:hint="eastAsia"/>
                      <w:lang w:eastAsia="zh-CN"/>
                    </w:rPr>
                    <w:t>建立管理体系</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2226"/>
              <w:gridCol w:w="1238"/>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237"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4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shd w:val="clear" w:color="auto" w:fill="auto"/>
                </w:tcPr>
                <w:p>
                  <w:pPr>
                    <w:shd w:val="clear" w:color="auto" w:fill="EBF1DE" w:themeFill="accent3" w:themeFillTint="32"/>
                  </w:pPr>
                  <w:r>
                    <w:rPr>
                      <w:rFonts w:hint="eastAsia"/>
                    </w:rPr>
                    <w:t>火灾事故为0</w:t>
                  </w:r>
                </w:p>
              </w:tc>
              <w:tc>
                <w:tcPr>
                  <w:tcW w:w="2237"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运行控制、应急管理</w:t>
                  </w:r>
                </w:p>
              </w:tc>
              <w:tc>
                <w:tcPr>
                  <w:tcW w:w="1243"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shd w:val="clear" w:color="auto" w:fill="auto"/>
                </w:tcPr>
                <w:p>
                  <w:pPr>
                    <w:shd w:val="clear" w:color="auto" w:fill="EBF1DE" w:themeFill="accent3" w:themeFillTint="32"/>
                  </w:pPr>
                  <w:r>
                    <w:rPr>
                      <w:rFonts w:hint="eastAsia"/>
                    </w:rPr>
                    <w:t>固体废弃物分类处置率100%</w:t>
                  </w:r>
                </w:p>
              </w:tc>
              <w:tc>
                <w:tcPr>
                  <w:tcW w:w="2237" w:type="dxa"/>
                  <w:shd w:val="clear" w:color="auto" w:fill="auto"/>
                  <w:vAlign w:val="center"/>
                </w:tcPr>
                <w:p>
                  <w:pPr>
                    <w:shd w:val="clear" w:color="auto" w:fill="EBF1DE" w:themeFill="accent3" w:themeFillTint="32"/>
                    <w:rPr>
                      <w:rFonts w:ascii="宋体" w:hAnsi="宋体"/>
                    </w:rPr>
                  </w:pPr>
                  <w:r>
                    <w:rPr>
                      <w:rFonts w:hint="eastAsia"/>
                      <w:lang w:val="en-GB" w:eastAsia="zh-CN"/>
                    </w:rPr>
                    <w:t>运行控制</w:t>
                  </w:r>
                </w:p>
              </w:tc>
              <w:tc>
                <w:tcPr>
                  <w:tcW w:w="1243" w:type="dxa"/>
                  <w:shd w:val="clear" w:color="auto" w:fill="auto"/>
                  <w:vAlign w:val="center"/>
                </w:tcPr>
                <w:p>
                  <w:pPr>
                    <w:shd w:val="clear" w:color="auto" w:fill="EBF1DE" w:themeFill="accent3" w:themeFillTint="32"/>
                    <w:rPr>
                      <w:rFonts w:ascii="宋体" w:hAnsi="宋体"/>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shd w:val="clear" w:color="auto" w:fill="auto"/>
                </w:tcPr>
                <w:p>
                  <w:pPr>
                    <w:shd w:val="clear" w:color="auto" w:fill="EBF1DE" w:themeFill="accent3" w:themeFillTint="32"/>
                  </w:pPr>
                </w:p>
              </w:tc>
              <w:tc>
                <w:tcPr>
                  <w:tcW w:w="2237" w:type="dxa"/>
                  <w:shd w:val="clear" w:color="auto" w:fill="auto"/>
                  <w:vAlign w:val="center"/>
                </w:tcPr>
                <w:p>
                  <w:pPr>
                    <w:shd w:val="clear" w:color="auto" w:fill="EBF1DE" w:themeFill="accent3" w:themeFillTint="32"/>
                    <w:rPr>
                      <w:rFonts w:ascii="宋体" w:hAnsi="宋体"/>
                    </w:rPr>
                  </w:pPr>
                </w:p>
              </w:tc>
              <w:tc>
                <w:tcPr>
                  <w:tcW w:w="124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shd w:val="clear" w:color="auto" w:fill="auto"/>
                </w:tcPr>
                <w:p>
                  <w:pPr>
                    <w:shd w:val="clear" w:color="auto" w:fill="EBF1DE" w:themeFill="accent3" w:themeFillTint="32"/>
                  </w:pPr>
                </w:p>
              </w:tc>
              <w:tc>
                <w:tcPr>
                  <w:tcW w:w="2237" w:type="dxa"/>
                  <w:shd w:val="clear" w:color="auto" w:fill="auto"/>
                  <w:vAlign w:val="center"/>
                </w:tcPr>
                <w:p>
                  <w:pPr>
                    <w:shd w:val="clear" w:color="auto" w:fill="EBF1DE" w:themeFill="accent3" w:themeFillTint="32"/>
                    <w:rPr>
                      <w:rFonts w:ascii="宋体" w:hAnsi="宋体"/>
                    </w:rPr>
                  </w:pPr>
                </w:p>
              </w:tc>
              <w:tc>
                <w:tcPr>
                  <w:tcW w:w="1243"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94" w:type="dxa"/>
            <w:vMerge w:val="restart"/>
            <w:shd w:val="clear" w:color="auto" w:fill="EBF1DE" w:themeFill="accent3" w:themeFillTint="32"/>
          </w:tcPr>
          <w:p>
            <w:pPr>
              <w:shd w:val="clear" w:color="auto" w:fill="EBF1DE" w:themeFill="accent3" w:themeFillTint="32"/>
            </w:pPr>
            <w:r>
              <w:rPr>
                <w:rFonts w:hint="eastAsia"/>
              </w:rPr>
              <w:t>支持</w:t>
            </w:r>
          </w:p>
        </w:tc>
        <w:tc>
          <w:tcPr>
            <w:tcW w:w="8635"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270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电脑、打印机</w:t>
            </w:r>
          </w:p>
          <w:p>
            <w:pPr>
              <w:shd w:val="clear" w:color="auto" w:fill="EBF1DE" w:themeFill="accent3" w:themeFillTint="32"/>
              <w:rPr>
                <w:u w:val="single"/>
              </w:rPr>
            </w:pPr>
            <w:r>
              <w:rPr>
                <w:rFonts w:hint="eastAsia"/>
              </w:rPr>
              <w:t>主要环保设备有：</w:t>
            </w:r>
            <w:r>
              <w:rPr>
                <w:rFonts w:hint="eastAsia"/>
                <w:u w:val="single"/>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游标卡尺、钢卷尺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restart"/>
            <w:shd w:val="clear" w:color="auto" w:fill="EBF1DE" w:themeFill="accent3" w:themeFillTint="32"/>
          </w:tcPr>
          <w:p>
            <w:pPr>
              <w:shd w:val="clear" w:color="auto" w:fill="EBF1DE" w:themeFill="accent3" w:themeFillTint="32"/>
            </w:pPr>
            <w:r>
              <w:rPr>
                <w:rFonts w:hint="eastAsia"/>
              </w:rPr>
              <w:t>运行</w:t>
            </w:r>
          </w:p>
        </w:tc>
        <w:tc>
          <w:tcPr>
            <w:tcW w:w="8635"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3616"/>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于2022年7月10日进行了的演练；并总结了预案的可行性和有效性。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restart"/>
            <w:shd w:val="clear" w:color="auto" w:fill="EBF1DE" w:themeFill="accent3" w:themeFillTint="32"/>
          </w:tcPr>
          <w:p>
            <w:pPr>
              <w:shd w:val="clear" w:color="auto" w:fill="EBF1DE" w:themeFill="accent3" w:themeFillTint="32"/>
            </w:pPr>
            <w:r>
              <w:rPr>
                <w:rFonts w:hint="eastAsia"/>
              </w:rPr>
              <w:t>绩效评价</w:t>
            </w:r>
          </w:p>
        </w:tc>
        <w:tc>
          <w:tcPr>
            <w:tcW w:w="8635"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bookmarkStart w:id="34" w:name="_GoBack"/>
            <w:bookmarkEnd w:id="34"/>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7</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通过年度策划于2022年8月17-18日实施了环境管理体系内部审核，对环境管理体系的符合性和有效性进行了审核。内审发现的项不符合在本次审核前已完成整改。在公司内完成的这些审核是可信的。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最高管理者已按策划的时间间隔，在2022年08月26日对组织的环境管理体系进行了评审，以确保其持续的适宜性、充分性和有效性；管理评审输入、输出均按要求提供。并对提出的改进措施进行了落实。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94" w:type="dxa"/>
            <w:vMerge w:val="restart"/>
            <w:shd w:val="clear" w:color="auto" w:fill="EBF1DE" w:themeFill="accent3" w:themeFillTint="32"/>
          </w:tcPr>
          <w:p>
            <w:pPr>
              <w:shd w:val="clear" w:color="auto" w:fill="EBF1DE" w:themeFill="accent3" w:themeFillTint="32"/>
            </w:pPr>
            <w:r>
              <w:rPr>
                <w:rFonts w:hint="eastAsia"/>
              </w:rPr>
              <w:t>改进</w:t>
            </w:r>
          </w:p>
        </w:tc>
        <w:tc>
          <w:tcPr>
            <w:tcW w:w="8635"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shd w:val="clear" w:color="auto" w:fill="EBF1DE" w:themeFill="accent3" w:themeFillTint="32"/>
          </w:tcPr>
          <w:p>
            <w:pPr>
              <w:shd w:val="clear" w:color="auto" w:fill="EBF1DE" w:themeFill="accent3" w:themeFillTint="32"/>
            </w:pPr>
          </w:p>
        </w:tc>
        <w:tc>
          <w:tcPr>
            <w:tcW w:w="8635"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72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049"/>
        <w:gridCol w:w="779"/>
        <w:gridCol w:w="780"/>
        <w:gridCol w:w="779"/>
        <w:gridCol w:w="780"/>
        <w:gridCol w:w="780"/>
        <w:gridCol w:w="779"/>
        <w:gridCol w:w="780"/>
        <w:gridCol w:w="779"/>
        <w:gridCol w:w="780"/>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61"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661"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61"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661"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661"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4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661"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108"/>
        <w:gridCol w:w="8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shd w:val="clear" w:color="auto" w:fill="F2DCDC" w:themeFill="accent2" w:themeFillTint="32"/>
          </w:tcPr>
          <w:p>
            <w:r>
              <w:rPr>
                <w:rFonts w:hint="eastAsia"/>
              </w:rPr>
              <w:t>审核周期</w:t>
            </w:r>
          </w:p>
        </w:tc>
        <w:tc>
          <w:tcPr>
            <w:tcW w:w="8635"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shd w:val="clear" w:color="auto" w:fill="F2DCDC" w:themeFill="accent2" w:themeFillTint="32"/>
          </w:tcPr>
          <w:p>
            <w:r>
              <w:rPr>
                <w:rFonts w:hint="eastAsia"/>
              </w:rPr>
              <w:t>体系要素</w:t>
            </w:r>
          </w:p>
        </w:tc>
        <w:tc>
          <w:tcPr>
            <w:tcW w:w="8635"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108" w:type="dxa"/>
            <w:vMerge w:val="restart"/>
            <w:shd w:val="clear" w:color="auto" w:fill="F2DCDC" w:themeFill="accent2" w:themeFillTint="32"/>
          </w:tcPr>
          <w:p>
            <w:r>
              <w:rPr>
                <w:rFonts w:hint="eastAsia"/>
              </w:rPr>
              <w:t>组织环境</w:t>
            </w:r>
          </w:p>
        </w:tc>
        <w:tc>
          <w:tcPr>
            <w:tcW w:w="8635"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108" w:type="dxa"/>
            <w:vMerge w:val="continue"/>
            <w:shd w:val="clear" w:color="auto" w:fill="F2DCDC" w:themeFill="accent2" w:themeFillTint="32"/>
          </w:tcPr>
          <w:p/>
        </w:tc>
        <w:tc>
          <w:tcPr>
            <w:tcW w:w="8635"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108" w:type="dxa"/>
            <w:vMerge w:val="continue"/>
            <w:shd w:val="clear" w:color="auto" w:fill="F2DCDC" w:themeFill="accent2" w:themeFillTint="32"/>
          </w:tcPr>
          <w:p/>
        </w:tc>
        <w:tc>
          <w:tcPr>
            <w:tcW w:w="8635"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restart"/>
            <w:shd w:val="clear" w:color="auto" w:fill="F2DCDC" w:themeFill="accent2" w:themeFillTint="32"/>
          </w:tcPr>
          <w:p>
            <w:r>
              <w:rPr>
                <w:rFonts w:hint="eastAsia"/>
              </w:rPr>
              <w:t>领导作用</w:t>
            </w:r>
          </w:p>
        </w:tc>
        <w:tc>
          <w:tcPr>
            <w:tcW w:w="8635"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杨坤伙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restart"/>
            <w:shd w:val="clear" w:color="auto" w:fill="F2DCDC" w:themeFill="accent2" w:themeFillTint="32"/>
          </w:tcPr>
          <w:p>
            <w:r>
              <w:rPr>
                <w:rFonts w:hint="eastAsia"/>
              </w:rPr>
              <w:t>策划</w:t>
            </w:r>
          </w:p>
        </w:tc>
        <w:tc>
          <w:tcPr>
            <w:tcW w:w="8635"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342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r>
                    <w:rPr>
                      <w:rFonts w:hint="eastAsia"/>
                    </w:rPr>
                    <w:t>主要的风险或机遇描述</w:t>
                  </w:r>
                </w:p>
              </w:tc>
              <w:tc>
                <w:tcPr>
                  <w:tcW w:w="347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r>
                    <w:rPr>
                      <w:rFonts w:hint="eastAsia"/>
                    </w:rPr>
                    <w:t>触电、潜在火灾、交通伤害</w:t>
                  </w:r>
                </w:p>
              </w:tc>
              <w:tc>
                <w:tcPr>
                  <w:tcW w:w="3471" w:type="dxa"/>
                </w:tcPr>
                <w:p>
                  <w:pPr>
                    <w:rPr>
                      <w:rFonts w:hint="eastAsia" w:eastAsia="宋体"/>
                      <w:lang w:eastAsia="zh-CN"/>
                    </w:rPr>
                  </w:pPr>
                  <w:r>
                    <w:rPr>
                      <w:rFonts w:hint="eastAsia"/>
                      <w:lang w:eastAsia="zh-CN"/>
                    </w:rPr>
                    <w:t>建立管理体系</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4" w:type="dxa"/>
                </w:tcPr>
                <w:p/>
              </w:tc>
              <w:tc>
                <w:tcPr>
                  <w:tcW w:w="3471"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3119"/>
              <w:gridCol w:w="1344"/>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tcPr>
                <w:p>
                  <w:pPr>
                    <w:rPr>
                      <w:rFonts w:ascii="宋体" w:hAnsi="宋体"/>
                    </w:rPr>
                  </w:pPr>
                  <w:r>
                    <w:rPr>
                      <w:rFonts w:hint="eastAsia"/>
                    </w:rPr>
                    <w:t>职业健康安全</w:t>
                  </w:r>
                  <w:r>
                    <w:rPr>
                      <w:rFonts w:hint="eastAsia" w:ascii="宋体" w:hAnsi="宋体"/>
                    </w:rPr>
                    <w:t>目标</w:t>
                  </w:r>
                </w:p>
              </w:tc>
              <w:tc>
                <w:tcPr>
                  <w:tcW w:w="3119" w:type="dxa"/>
                  <w:shd w:val="clear" w:color="auto" w:fill="auto"/>
                </w:tcPr>
                <w:p>
                  <w:pPr>
                    <w:rPr>
                      <w:rFonts w:ascii="宋体" w:hAnsi="宋体"/>
                    </w:rPr>
                  </w:pPr>
                  <w:r>
                    <w:rPr>
                      <w:rFonts w:hint="eastAsia" w:ascii="宋体" w:hAnsi="宋体"/>
                    </w:rPr>
                    <w:t>控制措施</w:t>
                  </w:r>
                </w:p>
              </w:tc>
              <w:tc>
                <w:tcPr>
                  <w:tcW w:w="1344" w:type="dxa"/>
                  <w:shd w:val="clear" w:color="auto" w:fill="auto"/>
                </w:tcPr>
                <w:p>
                  <w:pPr>
                    <w:rPr>
                      <w:rFonts w:ascii="宋体" w:hAnsi="宋体"/>
                    </w:rPr>
                  </w:pPr>
                  <w:r>
                    <w:rPr>
                      <w:rFonts w:hint="eastAsia" w:ascii="宋体" w:hAnsi="宋体"/>
                    </w:rPr>
                    <w:t>责任部门</w:t>
                  </w:r>
                </w:p>
              </w:tc>
              <w:tc>
                <w:tcPr>
                  <w:tcW w:w="1765"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tcPr>
                <w:p>
                  <w:r>
                    <w:rPr>
                      <w:rFonts w:hint="eastAsia"/>
                    </w:rPr>
                    <w:t>火灾、触电事故为0</w:t>
                  </w:r>
                </w:p>
              </w:tc>
              <w:tc>
                <w:tcPr>
                  <w:tcW w:w="3119"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44" w:type="dxa"/>
                  <w:shd w:val="clear" w:color="auto" w:fill="auto"/>
                  <w:vAlign w:val="center"/>
                </w:tcPr>
                <w:p>
                  <w:pPr>
                    <w:rPr>
                      <w:rFonts w:hint="eastAsia" w:eastAsia="宋体"/>
                      <w:lang w:val="en-GB" w:eastAsia="zh-CN"/>
                    </w:rPr>
                  </w:pPr>
                  <w:r>
                    <w:rPr>
                      <w:rFonts w:hint="eastAsia"/>
                      <w:lang w:val="en-GB" w:eastAsia="zh-CN"/>
                    </w:rPr>
                    <w:t>行政部</w:t>
                  </w:r>
                </w:p>
              </w:tc>
              <w:tc>
                <w:tcPr>
                  <w:tcW w:w="1765"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tcPr>
                <w:p>
                  <w:r>
                    <w:rPr>
                      <w:rFonts w:hint="eastAsia"/>
                    </w:rPr>
                    <w:t>职业病发病率为0</w:t>
                  </w:r>
                </w:p>
              </w:tc>
              <w:tc>
                <w:tcPr>
                  <w:tcW w:w="3119"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运行控制</w:t>
                  </w:r>
                </w:p>
              </w:tc>
              <w:tc>
                <w:tcPr>
                  <w:tcW w:w="1344"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行政部</w:t>
                  </w:r>
                </w:p>
              </w:tc>
              <w:tc>
                <w:tcPr>
                  <w:tcW w:w="1765"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shd w:val="clear" w:color="auto" w:fill="auto"/>
                </w:tcPr>
                <w:p/>
              </w:tc>
              <w:tc>
                <w:tcPr>
                  <w:tcW w:w="3119" w:type="dxa"/>
                  <w:shd w:val="clear" w:color="auto" w:fill="auto"/>
                  <w:vAlign w:val="center"/>
                </w:tcPr>
                <w:p>
                  <w:pPr>
                    <w:rPr>
                      <w:rFonts w:ascii="宋体" w:hAnsi="宋体"/>
                    </w:rPr>
                  </w:pPr>
                </w:p>
              </w:tc>
              <w:tc>
                <w:tcPr>
                  <w:tcW w:w="1344" w:type="dxa"/>
                  <w:shd w:val="clear" w:color="auto" w:fill="auto"/>
                  <w:vAlign w:val="center"/>
                </w:tcPr>
                <w:p>
                  <w:pPr>
                    <w:rPr>
                      <w:rFonts w:ascii="宋体" w:hAnsi="宋体"/>
                    </w:rPr>
                  </w:pPr>
                </w:p>
              </w:tc>
              <w:tc>
                <w:tcPr>
                  <w:tcW w:w="1765"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108" w:type="dxa"/>
            <w:vMerge w:val="restart"/>
            <w:shd w:val="clear" w:color="auto" w:fill="F2DCDC" w:themeFill="accent2" w:themeFillTint="32"/>
          </w:tcPr>
          <w:p>
            <w:r>
              <w:rPr>
                <w:rFonts w:hint="eastAsia"/>
              </w:rPr>
              <w:t>支持</w:t>
            </w:r>
          </w:p>
        </w:tc>
        <w:tc>
          <w:tcPr>
            <w:tcW w:w="8635"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108" w:type="dxa"/>
            <w:vMerge w:val="continue"/>
            <w:shd w:val="clear" w:color="auto" w:fill="F2DCDC" w:themeFill="accent2" w:themeFillTint="32"/>
          </w:tcPr>
          <w:p/>
        </w:tc>
        <w:tc>
          <w:tcPr>
            <w:tcW w:w="8635"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270</w:t>
            </w:r>
            <w:r>
              <w:rPr>
                <w:rFonts w:hint="eastAsia"/>
              </w:rPr>
              <w:t>平方米；生产车间个；库房个；实验室个；</w:t>
            </w:r>
          </w:p>
          <w:p>
            <w:pPr>
              <w:rPr>
                <w:u w:val="single"/>
              </w:rPr>
            </w:pPr>
            <w:r>
              <w:rPr>
                <w:rFonts w:hint="eastAsia"/>
              </w:rPr>
              <w:t>主要生产设备有：</w:t>
            </w:r>
            <w:r>
              <w:rPr>
                <w:rFonts w:hint="eastAsia"/>
                <w:u w:val="single"/>
              </w:rPr>
              <w:t>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4659"/>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于2022年7月10日进行了的演练；并总结了预案的可行性和有效性。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restart"/>
            <w:shd w:val="clear" w:color="auto" w:fill="F2DCDC" w:themeFill="accent2" w:themeFillTint="32"/>
          </w:tcPr>
          <w:p>
            <w:r>
              <w:rPr>
                <w:rFonts w:hint="eastAsia"/>
              </w:rPr>
              <w:t>绩效评价</w:t>
            </w:r>
          </w:p>
        </w:tc>
        <w:tc>
          <w:tcPr>
            <w:tcW w:w="8635"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7</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8月17-18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最高管理者已按策划的时间间隔，在2022年08月26日对组织的职业健康安全管理体系进行了评审，以确保其持续的适宜性、充分性和有效性；管理评审输入、输出均按要求提供。并对提出的改进措施进行了落实。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restart"/>
            <w:shd w:val="clear" w:color="auto" w:fill="F2DCDC" w:themeFill="accent2" w:themeFillTint="32"/>
          </w:tcPr>
          <w:p>
            <w:r>
              <w:rPr>
                <w:rFonts w:hint="eastAsia"/>
              </w:rPr>
              <w:t>事件调查、不符合、纠正措施和持续改善措施</w:t>
            </w:r>
          </w:p>
        </w:tc>
        <w:tc>
          <w:tcPr>
            <w:tcW w:w="8635"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108" w:type="dxa"/>
            <w:vMerge w:val="continue"/>
            <w:shd w:val="clear" w:color="auto" w:fill="F2DCDC" w:themeFill="accent2" w:themeFillTint="32"/>
          </w:tcPr>
          <w:p/>
        </w:tc>
        <w:tc>
          <w:tcPr>
            <w:tcW w:w="8635"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7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086"/>
        <w:gridCol w:w="767"/>
        <w:gridCol w:w="767"/>
        <w:gridCol w:w="767"/>
        <w:gridCol w:w="767"/>
        <w:gridCol w:w="767"/>
        <w:gridCol w:w="767"/>
        <w:gridCol w:w="767"/>
        <w:gridCol w:w="767"/>
        <w:gridCol w:w="76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标准条款</w:t>
            </w:r>
          </w:p>
        </w:tc>
        <w:tc>
          <w:tcPr>
            <w:tcW w:w="767" w:type="dxa"/>
            <w:shd w:val="clear" w:color="auto" w:fill="F2DCDC" w:themeFill="accent2" w:themeFillTint="32"/>
            <w:vAlign w:val="center"/>
          </w:tcPr>
          <w:p>
            <w:pPr>
              <w:rPr>
                <w:lang w:eastAsia="ja-JP"/>
              </w:rPr>
            </w:pPr>
            <w:r>
              <w:rPr>
                <w:rFonts w:hint="eastAsia"/>
              </w:rPr>
              <w:t>4.1</w:t>
            </w:r>
          </w:p>
        </w:tc>
        <w:tc>
          <w:tcPr>
            <w:tcW w:w="767" w:type="dxa"/>
            <w:shd w:val="clear" w:color="auto" w:fill="F2DCDC" w:themeFill="accent2" w:themeFillTint="32"/>
            <w:vAlign w:val="center"/>
          </w:tcPr>
          <w:p>
            <w:pPr>
              <w:rPr>
                <w:lang w:eastAsia="ja-JP"/>
              </w:rPr>
            </w:pPr>
            <w:r>
              <w:rPr>
                <w:rFonts w:hint="eastAsia"/>
              </w:rPr>
              <w:t>4.2</w:t>
            </w:r>
          </w:p>
        </w:tc>
        <w:tc>
          <w:tcPr>
            <w:tcW w:w="767" w:type="dxa"/>
            <w:shd w:val="clear" w:color="auto" w:fill="F2DCDC" w:themeFill="accent2" w:themeFillTint="32"/>
            <w:vAlign w:val="center"/>
          </w:tcPr>
          <w:p>
            <w:pPr>
              <w:rPr>
                <w:lang w:eastAsia="ja-JP"/>
              </w:rPr>
            </w:pPr>
            <w:r>
              <w:rPr>
                <w:rFonts w:hint="eastAsia"/>
              </w:rPr>
              <w:t>4.3</w:t>
            </w:r>
          </w:p>
        </w:tc>
        <w:tc>
          <w:tcPr>
            <w:tcW w:w="767" w:type="dxa"/>
            <w:shd w:val="clear" w:color="auto" w:fill="F2DCDC" w:themeFill="accent2" w:themeFillTint="32"/>
            <w:vAlign w:val="center"/>
          </w:tcPr>
          <w:p>
            <w:pPr>
              <w:rPr>
                <w:lang w:eastAsia="ja-JP"/>
              </w:rPr>
            </w:pPr>
            <w:r>
              <w:rPr>
                <w:rFonts w:hint="eastAsia"/>
              </w:rPr>
              <w:t>4.4</w:t>
            </w:r>
          </w:p>
        </w:tc>
        <w:tc>
          <w:tcPr>
            <w:tcW w:w="767" w:type="dxa"/>
            <w:shd w:val="clear" w:color="auto" w:fill="F2DCDC" w:themeFill="accent2" w:themeFillTint="32"/>
            <w:vAlign w:val="center"/>
          </w:tcPr>
          <w:p>
            <w:pPr>
              <w:rPr>
                <w:lang w:eastAsia="ja-JP"/>
              </w:rPr>
            </w:pPr>
            <w:r>
              <w:rPr>
                <w:rFonts w:hint="eastAsia"/>
              </w:rPr>
              <w:t>5.1</w:t>
            </w:r>
          </w:p>
        </w:tc>
        <w:tc>
          <w:tcPr>
            <w:tcW w:w="767" w:type="dxa"/>
            <w:shd w:val="clear" w:color="auto" w:fill="F2DCDC" w:themeFill="accent2" w:themeFillTint="32"/>
            <w:vAlign w:val="center"/>
          </w:tcPr>
          <w:p>
            <w:pPr>
              <w:rPr>
                <w:lang w:eastAsia="ja-JP"/>
              </w:rPr>
            </w:pPr>
            <w:r>
              <w:rPr>
                <w:rFonts w:hint="eastAsia"/>
              </w:rPr>
              <w:t>5.2</w:t>
            </w:r>
          </w:p>
        </w:tc>
        <w:tc>
          <w:tcPr>
            <w:tcW w:w="767" w:type="dxa"/>
            <w:shd w:val="clear" w:color="auto" w:fill="F2DCDC" w:themeFill="accent2" w:themeFillTint="32"/>
            <w:vAlign w:val="center"/>
          </w:tcPr>
          <w:p>
            <w:pPr>
              <w:rPr>
                <w:lang w:eastAsia="ja-JP"/>
              </w:rPr>
            </w:pPr>
            <w:r>
              <w:rPr>
                <w:rFonts w:hint="eastAsia"/>
              </w:rPr>
              <w:t>5.3</w:t>
            </w:r>
          </w:p>
        </w:tc>
        <w:tc>
          <w:tcPr>
            <w:tcW w:w="767" w:type="dxa"/>
            <w:shd w:val="clear" w:color="auto" w:fill="F2DCDC" w:themeFill="accent2" w:themeFillTint="32"/>
            <w:vAlign w:val="center"/>
          </w:tcPr>
          <w:p>
            <w:pPr>
              <w:rPr>
                <w:lang w:eastAsia="ja-JP"/>
              </w:rPr>
            </w:pPr>
            <w:r>
              <w:rPr>
                <w:rFonts w:hint="eastAsia"/>
              </w:rPr>
              <w:t>5.4</w:t>
            </w:r>
          </w:p>
        </w:tc>
        <w:tc>
          <w:tcPr>
            <w:tcW w:w="767" w:type="dxa"/>
            <w:shd w:val="clear" w:color="auto" w:fill="F2DCDC" w:themeFill="accent2" w:themeFillTint="32"/>
            <w:vAlign w:val="center"/>
          </w:tcPr>
          <w:p>
            <w:pPr>
              <w:rPr>
                <w:lang w:eastAsia="ja-JP"/>
              </w:rPr>
            </w:pPr>
            <w:r>
              <w:rPr>
                <w:rFonts w:hint="eastAsia"/>
              </w:rPr>
              <w:t>6.1</w:t>
            </w:r>
          </w:p>
        </w:tc>
        <w:tc>
          <w:tcPr>
            <w:tcW w:w="773"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评价*)</w:t>
            </w:r>
          </w:p>
        </w:tc>
        <w:tc>
          <w:tcPr>
            <w:tcW w:w="767"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73"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rPr>
              <w:t>不符合数量</w:t>
            </w: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73"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标准条款</w:t>
            </w:r>
          </w:p>
        </w:tc>
        <w:tc>
          <w:tcPr>
            <w:tcW w:w="767" w:type="dxa"/>
            <w:shd w:val="clear" w:color="auto" w:fill="F2DCDC" w:themeFill="accent2" w:themeFillTint="32"/>
            <w:vAlign w:val="center"/>
          </w:tcPr>
          <w:p>
            <w:pPr>
              <w:rPr>
                <w:lang w:eastAsia="ja-JP"/>
              </w:rPr>
            </w:pPr>
            <w:r>
              <w:rPr>
                <w:rFonts w:hint="eastAsia"/>
              </w:rPr>
              <w:t>7.1</w:t>
            </w:r>
          </w:p>
        </w:tc>
        <w:tc>
          <w:tcPr>
            <w:tcW w:w="767" w:type="dxa"/>
            <w:shd w:val="clear" w:color="auto" w:fill="F2DCDC" w:themeFill="accent2" w:themeFillTint="32"/>
            <w:vAlign w:val="center"/>
          </w:tcPr>
          <w:p>
            <w:pPr>
              <w:rPr>
                <w:lang w:eastAsia="ja-JP"/>
              </w:rPr>
            </w:pPr>
            <w:r>
              <w:rPr>
                <w:rFonts w:hint="eastAsia"/>
              </w:rPr>
              <w:t>7.2</w:t>
            </w:r>
          </w:p>
        </w:tc>
        <w:tc>
          <w:tcPr>
            <w:tcW w:w="767" w:type="dxa"/>
            <w:shd w:val="clear" w:color="auto" w:fill="F2DCDC" w:themeFill="accent2" w:themeFillTint="32"/>
            <w:vAlign w:val="center"/>
          </w:tcPr>
          <w:p>
            <w:pPr>
              <w:rPr>
                <w:lang w:eastAsia="ja-JP"/>
              </w:rPr>
            </w:pPr>
            <w:r>
              <w:rPr>
                <w:rFonts w:hint="eastAsia"/>
              </w:rPr>
              <w:t>7.3</w:t>
            </w:r>
          </w:p>
        </w:tc>
        <w:tc>
          <w:tcPr>
            <w:tcW w:w="767" w:type="dxa"/>
            <w:shd w:val="clear" w:color="auto" w:fill="F2DCDC" w:themeFill="accent2" w:themeFillTint="32"/>
            <w:vAlign w:val="center"/>
          </w:tcPr>
          <w:p>
            <w:pPr>
              <w:rPr>
                <w:lang w:eastAsia="ja-JP"/>
              </w:rPr>
            </w:pPr>
            <w:r>
              <w:rPr>
                <w:rFonts w:hint="eastAsia"/>
              </w:rPr>
              <w:t>7.4</w:t>
            </w:r>
          </w:p>
        </w:tc>
        <w:tc>
          <w:tcPr>
            <w:tcW w:w="767" w:type="dxa"/>
            <w:shd w:val="clear" w:color="auto" w:fill="F2DCDC" w:themeFill="accent2" w:themeFillTint="32"/>
            <w:vAlign w:val="center"/>
          </w:tcPr>
          <w:p>
            <w:pPr>
              <w:rPr>
                <w:lang w:eastAsia="ja-JP"/>
              </w:rPr>
            </w:pPr>
            <w:r>
              <w:rPr>
                <w:rFonts w:hint="eastAsia"/>
              </w:rPr>
              <w:t>7.5</w:t>
            </w:r>
          </w:p>
        </w:tc>
        <w:tc>
          <w:tcPr>
            <w:tcW w:w="767" w:type="dxa"/>
            <w:shd w:val="clear" w:color="auto" w:fill="F2DCDC" w:themeFill="accent2" w:themeFillTint="32"/>
            <w:vAlign w:val="center"/>
          </w:tcPr>
          <w:p>
            <w:pPr>
              <w:rPr>
                <w:lang w:eastAsia="ja-JP"/>
              </w:rPr>
            </w:pPr>
            <w:r>
              <w:rPr>
                <w:rFonts w:hint="eastAsia"/>
              </w:rPr>
              <w:t>8.1</w:t>
            </w:r>
          </w:p>
        </w:tc>
        <w:tc>
          <w:tcPr>
            <w:tcW w:w="767" w:type="dxa"/>
            <w:shd w:val="clear" w:color="auto" w:fill="F2DCDC" w:themeFill="accent2" w:themeFillTint="32"/>
            <w:vAlign w:val="center"/>
          </w:tcPr>
          <w:p>
            <w:pPr>
              <w:rPr>
                <w:lang w:eastAsia="ja-JP"/>
              </w:rPr>
            </w:pPr>
            <w:r>
              <w:rPr>
                <w:rFonts w:hint="eastAsia"/>
              </w:rPr>
              <w:t>8.2</w:t>
            </w:r>
          </w:p>
        </w:tc>
        <w:tc>
          <w:tcPr>
            <w:tcW w:w="767" w:type="dxa"/>
            <w:shd w:val="clear" w:color="auto" w:fill="F2DCDC" w:themeFill="accent2" w:themeFillTint="32"/>
            <w:vAlign w:val="center"/>
          </w:tcPr>
          <w:p>
            <w:pPr>
              <w:rPr>
                <w:lang w:eastAsia="ja-JP"/>
              </w:rPr>
            </w:pPr>
            <w:r>
              <w:rPr>
                <w:rFonts w:hint="eastAsia"/>
              </w:rPr>
              <w:t>9.1</w:t>
            </w:r>
          </w:p>
        </w:tc>
        <w:tc>
          <w:tcPr>
            <w:tcW w:w="767" w:type="dxa"/>
            <w:shd w:val="clear" w:color="auto" w:fill="F2DCDC" w:themeFill="accent2" w:themeFillTint="32"/>
            <w:vAlign w:val="center"/>
          </w:tcPr>
          <w:p>
            <w:pPr>
              <w:rPr>
                <w:lang w:eastAsia="ja-JP"/>
              </w:rPr>
            </w:pPr>
            <w:r>
              <w:rPr>
                <w:rFonts w:hint="eastAsia"/>
              </w:rPr>
              <w:t>9.2</w:t>
            </w:r>
          </w:p>
        </w:tc>
        <w:tc>
          <w:tcPr>
            <w:tcW w:w="773"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评价*)</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73"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rPr>
              <w:t>不符合数量</w:t>
            </w: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tcBorders>
              <w:bottom w:val="single" w:color="auto" w:sz="4" w:space="0"/>
            </w:tcBorders>
            <w:shd w:val="clear" w:color="auto" w:fill="F2DCDC" w:themeFill="accent2" w:themeFillTint="32"/>
            <w:vAlign w:val="center"/>
          </w:tcPr>
          <w:p>
            <w:pPr>
              <w:rPr>
                <w:lang w:eastAsia="ja-JP"/>
              </w:rPr>
            </w:pPr>
          </w:p>
        </w:tc>
        <w:tc>
          <w:tcPr>
            <w:tcW w:w="767" w:type="dxa"/>
            <w:tcBorders>
              <w:bottom w:val="single" w:color="auto" w:sz="4" w:space="0"/>
            </w:tcBorders>
            <w:shd w:val="clear" w:color="auto" w:fill="F2DCDC" w:themeFill="accent2" w:themeFillTint="32"/>
            <w:vAlign w:val="center"/>
          </w:tcPr>
          <w:p>
            <w:pPr>
              <w:rPr>
                <w:lang w:eastAsia="ja-JP"/>
              </w:rPr>
            </w:pPr>
          </w:p>
        </w:tc>
        <w:tc>
          <w:tcPr>
            <w:tcW w:w="767" w:type="dxa"/>
            <w:tcBorders>
              <w:bottom w:val="single" w:color="auto" w:sz="4" w:space="0"/>
            </w:tcBorders>
            <w:shd w:val="clear" w:color="auto" w:fill="F2DCDC" w:themeFill="accent2" w:themeFillTint="32"/>
            <w:vAlign w:val="center"/>
          </w:tcPr>
          <w:p>
            <w:pPr>
              <w:rPr>
                <w:lang w:eastAsia="ja-JP"/>
              </w:rPr>
            </w:pPr>
          </w:p>
        </w:tc>
        <w:tc>
          <w:tcPr>
            <w:tcW w:w="773"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标准条款</w:t>
            </w:r>
          </w:p>
        </w:tc>
        <w:tc>
          <w:tcPr>
            <w:tcW w:w="767" w:type="dxa"/>
            <w:shd w:val="clear" w:color="auto" w:fill="F2DCDC" w:themeFill="accent2" w:themeFillTint="32"/>
            <w:vAlign w:val="center"/>
          </w:tcPr>
          <w:p>
            <w:pPr>
              <w:rPr>
                <w:lang w:eastAsia="ja-JP"/>
              </w:rPr>
            </w:pPr>
            <w:r>
              <w:rPr>
                <w:rFonts w:hint="eastAsia"/>
              </w:rPr>
              <w:t>10.1</w:t>
            </w:r>
          </w:p>
        </w:tc>
        <w:tc>
          <w:tcPr>
            <w:tcW w:w="767" w:type="dxa"/>
            <w:shd w:val="clear" w:color="auto" w:fill="F2DCDC" w:themeFill="accent2" w:themeFillTint="32"/>
            <w:vAlign w:val="center"/>
          </w:tcPr>
          <w:p>
            <w:pPr>
              <w:rPr>
                <w:lang w:eastAsia="ja-JP"/>
              </w:rPr>
            </w:pPr>
            <w:r>
              <w:rPr>
                <w:rFonts w:hint="eastAsia"/>
              </w:rPr>
              <w:t>10.2</w:t>
            </w:r>
          </w:p>
        </w:tc>
        <w:tc>
          <w:tcPr>
            <w:tcW w:w="767" w:type="dxa"/>
            <w:shd w:val="clear" w:color="auto" w:fill="F2DCDC" w:themeFill="accent2" w:themeFillTint="32"/>
            <w:vAlign w:val="center"/>
          </w:tcPr>
          <w:p>
            <w:pPr>
              <w:rPr>
                <w:lang w:eastAsia="ja-JP"/>
              </w:rPr>
            </w:pPr>
            <w:r>
              <w:rPr>
                <w:rFonts w:hint="eastAsia"/>
              </w:rPr>
              <w:t>10.3</w:t>
            </w: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73"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lang w:val="en-GB"/>
              </w:rPr>
              <w:t>评价*)</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r>
              <w:rPr>
                <w:rFonts w:hint="eastAsia"/>
                <w:lang w:val="en-US" w:eastAsia="zh-CN"/>
              </w:rPr>
              <w:t>1</w:t>
            </w: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73"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86" w:type="dxa"/>
            <w:shd w:val="clear" w:color="auto" w:fill="F2DCDC" w:themeFill="accent2" w:themeFillTint="32"/>
            <w:vAlign w:val="center"/>
          </w:tcPr>
          <w:p>
            <w:pPr>
              <w:rPr>
                <w:lang w:eastAsia="ja-JP"/>
              </w:rPr>
            </w:pPr>
            <w:r>
              <w:rPr>
                <w:rFonts w:hint="eastAsia"/>
              </w:rPr>
              <w:t>不符合数量</w:t>
            </w: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67" w:type="dxa"/>
            <w:shd w:val="clear" w:color="auto" w:fill="F2DCDC" w:themeFill="accent2" w:themeFillTint="32"/>
            <w:vAlign w:val="center"/>
          </w:tcPr>
          <w:p>
            <w:pPr>
              <w:rPr>
                <w:lang w:eastAsia="ja-JP"/>
              </w:rPr>
            </w:pPr>
          </w:p>
        </w:tc>
        <w:tc>
          <w:tcPr>
            <w:tcW w:w="773"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1B081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19064</Words>
  <Characters>19803</Characters>
  <Lines>150</Lines>
  <Paragraphs>42</Paragraphs>
  <TotalTime>9</TotalTime>
  <ScaleCrop>false</ScaleCrop>
  <LinksUpToDate>false</LinksUpToDate>
  <CharactersWithSpaces>19924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2022-10-11T06:19:55Z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