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1113-2021-QE-2022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保定东禾新型材料科技有限公司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保定东禾新型材料科技有限公司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顺平县腰山工业集中区</w:t>
            </w:r>
            <w:bookmarkEnd w:id="6"/>
          </w:p>
        </w:tc>
        <w:tc>
          <w:tcPr>
            <w:tcW w:w="1242" w:type="dxa"/>
            <w:vMerge w:val="restart"/>
            <w:vAlign w:val="center"/>
          </w:tcPr>
          <w:p>
            <w:r>
              <w:rPr>
                <w:rFonts w:hint="eastAsia"/>
              </w:rPr>
              <w:t>邮编</w:t>
            </w:r>
          </w:p>
        </w:tc>
        <w:tc>
          <w:tcPr>
            <w:tcW w:w="1771" w:type="dxa"/>
          </w:tcPr>
          <w:p>
            <w:bookmarkStart w:id="7" w:name="注册邮编"/>
            <w:r>
              <w:t>072250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河北省保定市顺平县腰山工业集中区</w:t>
            </w:r>
            <w:bookmarkEnd w:id="8"/>
          </w:p>
        </w:tc>
        <w:tc>
          <w:tcPr>
            <w:tcW w:w="1242" w:type="dxa"/>
            <w:vMerge w:val="continue"/>
            <w:vAlign w:val="center"/>
          </w:tcPr>
          <w:p/>
        </w:tc>
        <w:tc>
          <w:tcPr>
            <w:tcW w:w="1771" w:type="dxa"/>
          </w:tcPr>
          <w:p>
            <w:bookmarkStart w:id="9" w:name="办公邮编"/>
            <w:r>
              <w:t>072250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刘畅</w:t>
            </w:r>
            <w:bookmarkEnd w:id="10"/>
          </w:p>
        </w:tc>
        <w:tc>
          <w:tcPr>
            <w:tcW w:w="1313" w:type="dxa"/>
            <w:vAlign w:val="center"/>
          </w:tcPr>
          <w:p>
            <w:r>
              <w:rPr>
                <w:rFonts w:hint="eastAsia"/>
              </w:rPr>
              <w:t>电话.</w:t>
            </w:r>
          </w:p>
        </w:tc>
        <w:tc>
          <w:tcPr>
            <w:tcW w:w="2180" w:type="dxa"/>
            <w:vAlign w:val="center"/>
          </w:tcPr>
          <w:p>
            <w:bookmarkStart w:id="11" w:name="联系人电话"/>
            <w:r>
              <w:t>13733326799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刘雪松</w:t>
            </w:r>
            <w:bookmarkEnd w:id="13"/>
          </w:p>
        </w:tc>
        <w:tc>
          <w:tcPr>
            <w:tcW w:w="1313" w:type="dxa"/>
            <w:vAlign w:val="center"/>
          </w:tcPr>
          <w:p>
            <w:r>
              <w:rPr>
                <w:rFonts w:hint="eastAsia"/>
              </w:rPr>
              <w:t>管理者代表</w:t>
            </w:r>
          </w:p>
        </w:tc>
        <w:tc>
          <w:tcPr>
            <w:tcW w:w="2180" w:type="dxa"/>
          </w:tcPr>
          <w:p>
            <w:bookmarkStart w:id="14" w:name="管理者代表"/>
            <w:r>
              <w:t>刘畅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vAlign w:val="top"/>
          </w:tcPr>
          <w:p>
            <w:pPr>
              <w:tabs>
                <w:tab w:val="left" w:pos="6390"/>
              </w:tabs>
              <w:spacing w:line="360" w:lineRule="auto"/>
              <w:rPr>
                <w:rFonts w:hint="eastAsia" w:ascii="宋体" w:hAnsi="宋体" w:eastAsia="宋体" w:cs="宋体"/>
                <w:b/>
                <w:color w:val="000000"/>
                <w:sz w:val="21"/>
                <w:szCs w:val="21"/>
                <w:lang w:val="zh-CN"/>
              </w:rPr>
            </w:pPr>
            <w:r>
              <w:rPr>
                <w:rFonts w:hint="eastAsia"/>
              </w:rPr>
              <w:t>客户接触----合同评审----签订合同--填立项单---生产部排产--原材料采购(</w:t>
            </w:r>
            <w:r>
              <w:rPr>
                <w:rFonts w:hint="eastAsia" w:ascii="Arial" w:hAnsi="Arial" w:cs="Arial"/>
                <w:b w:val="0"/>
                <w:i w:val="0"/>
                <w:caps w:val="0"/>
                <w:color w:val="000000"/>
                <w:spacing w:val="0"/>
                <w:kern w:val="0"/>
                <w:sz w:val="21"/>
                <w:szCs w:val="21"/>
                <w:vertAlign w:val="baseline"/>
                <w:lang w:val="en-US" w:eastAsia="zh-CN" w:bidi="ar-SA"/>
              </w:rPr>
              <w:t>聚录乙烯树脂粉，聚丙烯树脂粉</w:t>
            </w:r>
            <w:r>
              <w:rPr>
                <w:rFonts w:hint="eastAsia"/>
              </w:rPr>
              <w:t>)</w:t>
            </w:r>
            <w:r>
              <w:rPr>
                <w:rFonts w:hint="eastAsia" w:ascii="Arial" w:hAnsi="Arial" w:cs="Arial"/>
                <w:b w:val="0"/>
                <w:i w:val="0"/>
                <w:caps w:val="0"/>
                <w:color w:val="000000"/>
                <w:spacing w:val="0"/>
                <w:kern w:val="0"/>
                <w:sz w:val="21"/>
                <w:szCs w:val="21"/>
                <w:vertAlign w:val="baseline"/>
                <w:lang w:val="en-US" w:eastAsia="zh-CN" w:bidi="ar-SA"/>
              </w:rPr>
              <w:t>混料--上料--塑化挤出--模具定型--牵引--切割--成品包装入库</w:t>
            </w:r>
            <w:r>
              <w:rPr>
                <w:rFonts w:hint="eastAsia" w:ascii="宋体" w:hAnsi="宋体" w:eastAsia="宋体" w:cs="宋体"/>
              </w:rPr>
              <w:t xml:space="preserve"> </w:t>
            </w:r>
          </w:p>
          <w:p>
            <w:pPr>
              <w:tabs>
                <w:tab w:val="left" w:pos="360"/>
              </w:tabs>
              <w:ind w:left="360" w:leftChars="0" w:hanging="360" w:firstLineChars="0"/>
              <w:rPr>
                <w:rFonts w:ascii="宋体" w:hAnsi="Times New Roman" w:eastAsia="宋体" w:cs="Times New Roman"/>
                <w:color w:val="000000"/>
                <w:kern w:val="2"/>
                <w:sz w:val="21"/>
                <w:szCs w:val="21"/>
                <w:lang w:val="en-US" w:eastAsia="zh-CN" w:bidi="ar-SA"/>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 xml:space="preserve">2022年09月29日 </w:t>
            </w:r>
            <w:r>
              <w:rPr>
                <w:rFonts w:hint="eastAsia"/>
                <w:lang w:val="en-US" w:eastAsia="zh-CN"/>
              </w:rPr>
              <w:t>下</w:t>
            </w:r>
            <w:r>
              <w:rPr>
                <w:rFonts w:hint="eastAsia"/>
              </w:rPr>
              <w:t xml:space="preserve">午至2022年09月30日 </w:t>
            </w:r>
            <w:r>
              <w:rPr>
                <w:rFonts w:hint="eastAsia"/>
                <w:lang w:val="en-US" w:eastAsia="zh-CN"/>
              </w:rPr>
              <w:t>下</w:t>
            </w:r>
            <w:r>
              <w:rPr>
                <w:rFonts w:hint="eastAsia"/>
              </w:rPr>
              <w:t>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rPr>
              <w:sym w:font="Wingdings 2" w:char="0052"/>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Q：塑料制品（板材、棒材、型材）的加工</w:t>
            </w:r>
          </w:p>
          <w:p>
            <w:r>
              <w:t>E：塑料制品（板材、棒材、型材）的加工所涉及场所的相关环境管理活动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Q：14.02.01</w:t>
            </w:r>
          </w:p>
          <w:p>
            <w:r>
              <w:t>E：14.02.01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1"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rPr>
            </w:pPr>
            <w:r>
              <w:rPr>
                <w:rFonts w:hint="eastAsia"/>
              </w:rPr>
              <w:t>保定东禾新型材料科技有限公司</w:t>
            </w:r>
          </w:p>
          <w:p>
            <w:pPr>
              <w:pStyle w:val="5"/>
              <w:jc w:val="both"/>
              <w:rPr>
                <w:rFonts w:ascii="Times New Roman" w:hAnsi="Times New Roman" w:eastAsia="宋体" w:cs="Times New Roman"/>
                <w:kern w:val="2"/>
                <w:sz w:val="18"/>
                <w:szCs w:val="18"/>
                <w:lang w:val="de-DE" w:eastAsia="ja-JP" w:bidi="ar-SA"/>
              </w:rPr>
            </w:pPr>
            <w:r>
              <w:rPr>
                <w:rFonts w:hint="eastAsia" w:ascii="宋体" w:hAnsi="宋体" w:eastAsia="宋体" w:cs="宋体"/>
                <w:color w:val="000000"/>
                <w:kern w:val="0"/>
                <w:sz w:val="21"/>
                <w:szCs w:val="21"/>
                <w:lang w:val="en-US" w:eastAsia="zh-CN" w:bidi="ar-SA"/>
              </w:rPr>
              <w:t>河北省保定市顺平县腰山工业集中区</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rFonts w:hint="eastAsia" w:ascii="宋体" w:hAnsi="宋体" w:cs="宋体"/>
                <w:color w:val="000000"/>
                <w:kern w:val="0"/>
                <w:szCs w:val="21"/>
              </w:rPr>
              <w:t>河北省保定市顺平县腰山工业集中区</w:t>
            </w:r>
          </w:p>
        </w:tc>
        <w:tc>
          <w:tcPr>
            <w:tcW w:w="571" w:type="dxa"/>
            <w:vAlign w:val="center"/>
          </w:tcPr>
          <w:p>
            <w:pPr>
              <w:rPr>
                <w:rFonts w:hint="default" w:eastAsia="宋体"/>
                <w:lang w:val="en-US" w:eastAsia="zh-CN"/>
              </w:rPr>
            </w:pPr>
            <w:r>
              <w:rPr>
                <w:rFonts w:hint="eastAsia"/>
                <w:lang w:val="en-US" w:eastAsia="zh-CN"/>
              </w:rPr>
              <w:t>50</w:t>
            </w:r>
          </w:p>
        </w:tc>
        <w:tc>
          <w:tcPr>
            <w:tcW w:w="2803" w:type="dxa"/>
            <w:vAlign w:val="center"/>
          </w:tcPr>
          <w:p>
            <w:pPr>
              <w:widowControl/>
              <w:jc w:val="left"/>
              <w:rPr>
                <w:rFonts w:ascii="宋体" w:hAnsi="宋体" w:eastAsia="宋体" w:cs="Times New Roman"/>
                <w:b/>
                <w:color w:val="000000"/>
                <w:kern w:val="2"/>
                <w:sz w:val="21"/>
                <w:szCs w:val="21"/>
                <w:lang w:val="en-US" w:eastAsia="ja-JP" w:bidi="ar-SA"/>
              </w:rPr>
            </w:pPr>
            <w:r>
              <w:rPr>
                <w:rFonts w:hint="eastAsia" w:ascii="宋体" w:hAnsi="宋体" w:cs="宋体"/>
                <w:color w:val="000000"/>
                <w:kern w:val="0"/>
                <w:szCs w:val="21"/>
              </w:rPr>
              <w:t>塑料制品（板材、棒材、型材）的加工</w:t>
            </w:r>
            <w:r>
              <w:rPr>
                <w:rFonts w:hint="eastAsia" w:ascii="宋体" w:hAnsi="宋体" w:cs="宋体"/>
                <w:color w:val="000000"/>
                <w:kern w:val="0"/>
                <w:szCs w:val="21"/>
                <w:lang w:val="en-US" w:eastAsia="zh-CN"/>
              </w:rPr>
              <w:t>/</w:t>
            </w:r>
            <w:r>
              <w:rPr>
                <w:rFonts w:hint="eastAsia" w:ascii="宋体" w:hAnsi="宋体" w:eastAsia="宋体" w:cs="宋体"/>
                <w:color w:val="000000"/>
                <w:kern w:val="0"/>
                <w:szCs w:val="21"/>
                <w:lang w:val="en-US" w:eastAsia="zh-CN"/>
              </w:rPr>
              <w:t>塑料制品（板材、棒材、型材）的加工所涉及场所的相关环境管理活动</w:t>
            </w:r>
          </w:p>
        </w:tc>
        <w:tc>
          <w:tcPr>
            <w:tcW w:w="669" w:type="dxa"/>
            <w:vAlign w:val="center"/>
          </w:tcPr>
          <w:p>
            <w:pPr>
              <w:spacing w:before="40" w:after="40"/>
              <w:rPr>
                <w:rFonts w:hint="eastAsia"/>
                <w:lang w:val="de-DE"/>
              </w:rPr>
            </w:pPr>
            <w:r>
              <w:rPr>
                <w:rFonts w:hint="eastAsia"/>
                <w:lang w:val="de-DE"/>
              </w:rPr>
              <w:t>GB/T19001-2016</w:t>
            </w:r>
          </w:p>
          <w:p>
            <w:pPr>
              <w:rPr>
                <w:rFonts w:ascii="Times New Roman" w:hAnsi="Times New Roman" w:eastAsia="宋体" w:cs="Times New Roman"/>
                <w:kern w:val="2"/>
                <w:sz w:val="18"/>
                <w:szCs w:val="18"/>
                <w:lang w:val="en-US" w:eastAsia="ja-JP" w:bidi="ar-SA"/>
              </w:rPr>
            </w:pPr>
            <w:r>
              <w:rPr>
                <w:rFonts w:hint="eastAsia" w:ascii="宋体" w:hAnsi="宋体"/>
                <w:b/>
                <w:color w:val="000000"/>
                <w:szCs w:val="21"/>
                <w:lang w:val="de-DE"/>
              </w:rPr>
              <w:t>GB/T24001-201</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color w:val="000000"/>
                    <w:szCs w:val="21"/>
                    <w:lang w:val="de-DE"/>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张星</w:t>
            </w:r>
          </w:p>
        </w:tc>
        <w:tc>
          <w:tcPr>
            <w:tcW w:w="1089" w:type="dxa"/>
            <w:vAlign w:val="center"/>
          </w:tcPr>
          <w:p>
            <w:r>
              <w:t>组长</w:t>
            </w:r>
          </w:p>
        </w:tc>
        <w:tc>
          <w:tcPr>
            <w:tcW w:w="711" w:type="dxa"/>
            <w:vAlign w:val="center"/>
          </w:tcPr>
          <w:p>
            <w:r>
              <w:t>女</w:t>
            </w:r>
          </w:p>
        </w:tc>
        <w:tc>
          <w:tcPr>
            <w:tcW w:w="3870" w:type="dxa"/>
            <w:vAlign w:val="center"/>
          </w:tcPr>
          <w:p>
            <w:r>
              <w:t>2020-N1QMS-1263722</w:t>
            </w:r>
          </w:p>
          <w:p>
            <w:r>
              <w:t>2020-N1EMS-1263722</w:t>
            </w:r>
          </w:p>
        </w:tc>
        <w:tc>
          <w:tcPr>
            <w:tcW w:w="2179" w:type="dxa"/>
            <w:vAlign w:val="center"/>
          </w:tcPr>
          <w:p>
            <w:r>
              <w:t>Q:14.02.01</w:t>
            </w:r>
          </w:p>
          <w:p>
            <w:r>
              <w:t>E:14.02.01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A3"/>
            </w:r>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sz w:val="22"/>
                <w:szCs w:val="22"/>
              </w:rPr>
              <w:drawing>
                <wp:inline distT="0" distB="0" distL="0" distR="0">
                  <wp:extent cx="475615" cy="335280"/>
                  <wp:effectExtent l="0" t="0" r="6985"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75615" cy="335280"/>
                          </a:xfrm>
                          <a:prstGeom prst="rect">
                            <a:avLst/>
                          </a:prstGeom>
                          <a:noFill/>
                        </pic:spPr>
                      </pic:pic>
                    </a:graphicData>
                  </a:graphic>
                </wp:inline>
              </w:drawing>
            </w:r>
          </w:p>
          <w:p>
            <w:pPr>
              <w:rPr>
                <w:rFonts w:hint="eastAsia" w:eastAsia="宋体"/>
                <w:lang w:val="en-US" w:eastAsia="zh-CN"/>
              </w:rPr>
            </w:pPr>
            <w:r>
              <w:rPr>
                <w:rFonts w:hint="eastAsia"/>
                <w:lang w:val="en-US" w:eastAsia="zh-CN"/>
              </w:rPr>
              <w:t xml:space="preserve"> </w:t>
            </w:r>
            <w:r>
              <w:rPr>
                <w:rFonts w:hint="eastAsia" w:eastAsia="宋体"/>
                <w:lang w:val="en-US" w:eastAsia="zh-CN"/>
              </w:rPr>
              <w:drawing>
                <wp:inline distT="0" distB="0" distL="114300" distR="114300">
                  <wp:extent cx="1682115" cy="1159510"/>
                  <wp:effectExtent l="0" t="0" r="6985" b="8890"/>
                  <wp:docPr id="2" name="图片 2"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张星"/>
                          <pic:cNvPicPr>
                            <a:picLocks noChangeAspect="1"/>
                          </pic:cNvPicPr>
                        </pic:nvPicPr>
                        <pic:blipFill>
                          <a:blip r:embed="rId7"/>
                          <a:stretch>
                            <a:fillRect/>
                          </a:stretch>
                        </pic:blipFill>
                        <pic:spPr>
                          <a:xfrm>
                            <a:off x="0" y="0"/>
                            <a:ext cx="1682115" cy="1159510"/>
                          </a:xfrm>
                          <a:prstGeom prst="rect">
                            <a:avLst/>
                          </a:prstGeom>
                        </pic:spPr>
                      </pic:pic>
                    </a:graphicData>
                  </a:graphic>
                </wp:inline>
              </w:drawing>
            </w:r>
            <w:r>
              <w:rPr>
                <w:rFonts w:hint="eastAsia" w:eastAsia="宋体"/>
                <w:lang w:val="en-US" w:eastAsia="zh-CN"/>
              </w:rPr>
              <w:drawing>
                <wp:inline distT="0" distB="0" distL="114300" distR="114300">
                  <wp:extent cx="1682115" cy="1159510"/>
                  <wp:effectExtent l="0" t="0" r="6985" b="8890"/>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7"/>
                          <a:stretch>
                            <a:fillRect/>
                          </a:stretch>
                        </pic:blipFill>
                        <pic:spPr>
                          <a:xfrm>
                            <a:off x="0" y="0"/>
                            <a:ext cx="1682115" cy="1159510"/>
                          </a:xfrm>
                          <a:prstGeom prst="rect">
                            <a:avLst/>
                          </a:prstGeom>
                        </pic:spPr>
                      </pic:pic>
                    </a:graphicData>
                  </a:graphic>
                </wp:inline>
              </w:drawing>
            </w: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2022.9.30</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rFonts w:eastAsia="微软雅黑"/>
          <w:sz w:val="20"/>
          <w:szCs w:val="20"/>
        </w:rPr>
      </w:pPr>
      <w:r>
        <w:rPr>
          <w:shd w:val="clear" w:color="FFFFFF" w:fill="D9D9D9"/>
        </w:rPr>
        <w:t>附件ISO 9001:2015 (若不是ISO 9001:2015审核请删除)</w:t>
      </w:r>
    </w:p>
    <w:tbl>
      <w:tblPr>
        <w:tblStyle w:val="9"/>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70"/>
        <w:gridCol w:w="9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shd w:val="clear" w:color="auto" w:fill="C7DAF1" w:themeFill="text2" w:themeFillTint="32"/>
          </w:tcPr>
          <w:p>
            <w:pPr>
              <w:shd w:val="clear" w:color="auto" w:fill="C7DAF1" w:themeFill="text2" w:themeFillTint="32"/>
            </w:pPr>
            <w:r>
              <w:rPr>
                <w:rFonts w:hint="eastAsia"/>
              </w:rPr>
              <w:t>审核周期</w:t>
            </w:r>
          </w:p>
        </w:tc>
        <w:tc>
          <w:tcPr>
            <w:tcW w:w="9057"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52"/>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57" w:type="dxa"/>
            <w:shd w:val="clear" w:color="auto" w:fill="C7DAF1" w:themeFill="text2" w:themeFillTint="32"/>
          </w:tcPr>
          <w:p>
            <w:pPr>
              <w:shd w:val="clear" w:color="auto" w:fill="C7DAF1" w:themeFill="text2" w:themeFillTint="32"/>
            </w:pPr>
            <w:r>
              <w:rPr>
                <w:rFonts w:hint="eastAsia"/>
              </w:rPr>
              <w:t>体系要素</w:t>
            </w:r>
          </w:p>
        </w:tc>
        <w:tc>
          <w:tcPr>
            <w:tcW w:w="9057"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restart"/>
            <w:shd w:val="clear" w:color="auto" w:fill="C7DAF1" w:themeFill="text2" w:themeFillTint="32"/>
          </w:tcPr>
          <w:p>
            <w:pPr>
              <w:shd w:val="clear" w:color="auto" w:fill="C7DAF1" w:themeFill="text2" w:themeFillTint="32"/>
            </w:pPr>
            <w:r>
              <w:rPr>
                <w:rFonts w:hint="eastAsia"/>
              </w:rPr>
              <w:t>组织环境</w:t>
            </w:r>
          </w:p>
        </w:tc>
        <w:tc>
          <w:tcPr>
            <w:tcW w:w="9057"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A3"/>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 xml:space="preserve">新产品设计开发 </w:t>
            </w:r>
            <w:r>
              <w:rPr>
                <w:rFonts w:hint="eastAsia"/>
              </w:rPr>
              <w:sym w:font="Wingdings 2" w:char="00A3"/>
            </w:r>
            <w:r>
              <w:rPr>
                <w:rFonts w:hint="eastAsia"/>
              </w:rPr>
              <w:t xml:space="preserve">原材料订制 □生产/服务过程 □检验检测 </w:t>
            </w:r>
            <w:r>
              <w:rPr>
                <w:rFonts w:hint="eastAsia"/>
              </w:rPr>
              <w:sym w:font="Wingdings 2" w:char="0052"/>
            </w:r>
            <w:r>
              <w:rPr>
                <w:rFonts w:hint="eastAsia"/>
              </w:rPr>
              <w:t>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领导作用</w:t>
            </w:r>
          </w:p>
        </w:tc>
        <w:tc>
          <w:tcPr>
            <w:tcW w:w="9057"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rPr>
                <w:rFonts w:hint="eastAsia"/>
                <w:u w:val="single"/>
              </w:rPr>
            </w:pPr>
            <w:r>
              <w:rPr>
                <w:rFonts w:hint="eastAsia"/>
              </w:rPr>
              <w:t>最高管理者制定了文件化的管理体系方针：</w:t>
            </w:r>
            <w:r>
              <w:rPr>
                <w:rFonts w:hint="eastAsia"/>
                <w:u w:val="single"/>
              </w:rPr>
              <w:t xml:space="preserve">  守法诚信追求精品，预防污染保护环境；</w:t>
            </w:r>
          </w:p>
          <w:p>
            <w:pPr>
              <w:shd w:val="clear" w:color="auto" w:fill="C7DAF1" w:themeFill="text2" w:themeFillTint="32"/>
            </w:pPr>
            <w:r>
              <w:rPr>
                <w:rFonts w:hint="eastAsia"/>
                <w:u w:val="single"/>
              </w:rPr>
              <w:t xml:space="preserve">关爱员工健康安全，持续改进追求卓越。                </w:t>
            </w:r>
          </w:p>
          <w:p>
            <w:pPr>
              <w:shd w:val="clear" w:color="auto" w:fill="C7DAF1" w:themeFill="text2" w:themeFillTint="32"/>
              <w:rPr>
                <w:u w:val="single"/>
              </w:rPr>
            </w:pPr>
            <w:r>
              <w:rPr>
                <w:rFonts w:hint="eastAsia"/>
              </w:rPr>
              <w:t xml:space="preserve"> </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p>
          <w:p>
            <w:pPr>
              <w:shd w:val="clear" w:color="auto" w:fill="C7DAF1" w:themeFill="text2" w:themeFillTint="32"/>
              <w:rPr>
                <w:rFonts w:hint="default" w:eastAsia="宋体"/>
                <w:lang w:val="en-US" w:eastAsia="zh-CN"/>
              </w:rPr>
            </w:pP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策划</w:t>
            </w:r>
          </w:p>
        </w:tc>
        <w:tc>
          <w:tcPr>
            <w:tcW w:w="9057"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公司属于生产行业，主要客户为各企事业单位，及个体经营者、厂区，有产业和政策调整的风险较小。但为了防止未来有可能发生改变的政策，企业拟在其它类型的工作业务扩大做准备。</w:t>
                  </w:r>
                </w:p>
              </w:tc>
              <w:tc>
                <w:tcPr>
                  <w:tcW w:w="3965"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针对政策风险，公司时刻关注政策的走向，在符合政策的同时对公司进行开展运作。</w:t>
                  </w:r>
                </w:p>
              </w:tc>
              <w:tc>
                <w:tcPr>
                  <w:tcW w:w="1717" w:type="dxa"/>
                </w:tcPr>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公司拟招聘经验丰富的生产技术人员，并不断组织人员到同行优秀企业学习，加大产品服务及后期作业工作能力的提升，不断提高我企业的行业竞争能力，规避相关技术风险。</w:t>
                  </w:r>
                </w:p>
                <w:p>
                  <w:pPr>
                    <w:shd w:val="clear" w:color="auto" w:fill="C7DAF1" w:themeFill="text2" w:themeFillTint="32"/>
                    <w:rPr>
                      <w:rFonts w:hint="eastAsia" w:ascii="Times New Roman" w:hAnsi="Times New Roman" w:eastAsia="宋体" w:cs="Times New Roman"/>
                    </w:rPr>
                  </w:pPr>
                </w:p>
              </w:tc>
              <w:tc>
                <w:tcPr>
                  <w:tcW w:w="3965"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技术风险的应对，定期进行人员培训及业绩考核，公司做到公平公正的政策，引进适者生存的模式，对于不适宜的人员先进行调岗，如不能满足要求，再进行淘汰。</w:t>
                  </w:r>
                </w:p>
              </w:tc>
              <w:tc>
                <w:tcPr>
                  <w:tcW w:w="1717" w:type="dxa"/>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jc w:val="left"/>
                    <w:rPr>
                      <w:rFonts w:hint="default" w:eastAsia="宋体"/>
                      <w:lang w:val="en-US" w:eastAsia="zh-CN"/>
                    </w:rPr>
                  </w:pPr>
                  <w:r>
                    <w:rPr>
                      <w:rFonts w:hint="eastAsia" w:ascii="宋体" w:hAnsi="宋体" w:eastAsia="宋体" w:cs="宋体"/>
                      <w:kern w:val="0"/>
                      <w:sz w:val="21"/>
                      <w:szCs w:val="21"/>
                      <w:lang w:bidi="ar"/>
                    </w:rPr>
                    <w:t>产品</w:t>
                  </w:r>
                  <w:r>
                    <w:rPr>
                      <w:rFonts w:hint="eastAsia" w:ascii="宋体" w:hAnsi="宋体" w:eastAsia="宋体" w:cs="宋体"/>
                      <w:kern w:val="0"/>
                      <w:sz w:val="21"/>
                      <w:szCs w:val="21"/>
                      <w:lang w:val="en-US" w:eastAsia="zh-CN" w:bidi="ar"/>
                    </w:rPr>
                    <w:t>出厂</w:t>
                  </w:r>
                  <w:r>
                    <w:rPr>
                      <w:rFonts w:hint="eastAsia" w:ascii="宋体" w:hAnsi="宋体" w:eastAsia="宋体" w:cs="宋体"/>
                      <w:kern w:val="0"/>
                      <w:sz w:val="21"/>
                      <w:szCs w:val="21"/>
                      <w:lang w:bidi="ar"/>
                    </w:rPr>
                    <w:t>合格率</w:t>
                  </w:r>
                  <w:r>
                    <w:rPr>
                      <w:rFonts w:hint="eastAsia" w:ascii="宋体" w:hAnsi="宋体" w:eastAsia="宋体" w:cs="宋体"/>
                      <w:kern w:val="0"/>
                      <w:sz w:val="21"/>
                      <w:szCs w:val="21"/>
                      <w:lang w:val="en-US" w:eastAsia="zh-CN" w:bidi="ar"/>
                    </w:rPr>
                    <w:t>100</w:t>
                  </w:r>
                  <w:r>
                    <w:rPr>
                      <w:rFonts w:hint="eastAsia" w:ascii="宋体" w:hAnsi="宋体" w:eastAsia="宋体" w:cs="宋体"/>
                      <w:kern w:val="0"/>
                      <w:sz w:val="21"/>
                      <w:szCs w:val="21"/>
                      <w:lang w:bidi="ar"/>
                    </w:rPr>
                    <w:t>%</w:t>
                  </w:r>
                </w:p>
              </w:tc>
              <w:tc>
                <w:tcPr>
                  <w:tcW w:w="3136" w:type="dxa"/>
                  <w:shd w:val="clear" w:color="auto" w:fill="auto"/>
                  <w:vAlign w:val="center"/>
                </w:tcPr>
                <w:p>
                  <w:pPr>
                    <w:shd w:val="clear" w:color="auto" w:fill="C7DAF1" w:themeFill="text2" w:themeFillTint="32"/>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出厂产品合格数/产品总数*100%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autoSpaceDE w:val="0"/>
                    <w:autoSpaceDN w:val="0"/>
                    <w:adjustRightInd w:val="0"/>
                    <w:jc w:val="left"/>
                    <w:rPr>
                      <w:rFonts w:hint="default" w:eastAsia="宋体"/>
                      <w:lang w:val="en-US" w:eastAsia="zh-CN"/>
                    </w:rPr>
                  </w:pPr>
                  <w:r>
                    <w:rPr>
                      <w:rFonts w:hint="eastAsia" w:ascii="宋体" w:hAnsi="宋体" w:eastAsia="宋体" w:cs="宋体"/>
                      <w:kern w:val="0"/>
                      <w:sz w:val="21"/>
                      <w:szCs w:val="21"/>
                      <w:lang w:bidi="ar"/>
                    </w:rPr>
                    <w:t>顾客满意率95%以上</w:t>
                  </w:r>
                </w:p>
              </w:tc>
              <w:tc>
                <w:tcPr>
                  <w:tcW w:w="3136" w:type="dxa"/>
                  <w:shd w:val="clear" w:color="auto" w:fill="auto"/>
                  <w:vAlign w:val="center"/>
                </w:tcPr>
                <w:p>
                  <w:pPr>
                    <w:shd w:val="clear" w:color="auto" w:fill="C7DAF1" w:themeFill="text2" w:themeFillTint="32"/>
                    <w:jc w:val="left"/>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满意度调查分数/总分数*100%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restart"/>
            <w:shd w:val="clear" w:color="auto" w:fill="C7DAF1" w:themeFill="text2" w:themeFillTint="32"/>
          </w:tcPr>
          <w:p>
            <w:pPr>
              <w:shd w:val="clear" w:color="auto" w:fill="C7DAF1" w:themeFill="text2" w:themeFillTint="32"/>
            </w:pPr>
            <w:r>
              <w:rPr>
                <w:rFonts w:hint="eastAsia"/>
              </w:rPr>
              <w:t>支持</w:t>
            </w:r>
          </w:p>
        </w:tc>
        <w:tc>
          <w:tcPr>
            <w:tcW w:w="9057"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cs="宋体"/>
                <w:color w:val="auto"/>
                <w:sz w:val="21"/>
                <w:szCs w:val="21"/>
                <w:lang w:val="en-US" w:eastAsia="zh-CN"/>
              </w:rPr>
              <w:t>约1万</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个；实验室</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rPr>
              <w:t>冷热双混高搅拌混料机、PP型材生产线、PP/PE厚板材生产线、PP/PE棒材生产线（列举2~4种）</w:t>
            </w:r>
          </w:p>
          <w:p>
            <w:pPr>
              <w:shd w:val="clear" w:color="auto" w:fill="C7DAF1" w:themeFill="text2" w:themeFillTint="32"/>
            </w:pPr>
            <w:r>
              <w:rPr>
                <w:rFonts w:hint="eastAsia"/>
                <w:color w:val="FF0000"/>
              </w:rPr>
              <w:t>特种设备</w:t>
            </w:r>
            <w:r>
              <w:rPr>
                <w:rFonts w:hint="eastAsia"/>
              </w:rPr>
              <w:t xml:space="preserve">：□叉车 □行车□ 锅炉 □电梯  □压力容器  □压力管道  </w:t>
            </w:r>
            <w:r>
              <w:rPr>
                <w:rFonts w:hint="eastAsia"/>
              </w:rPr>
              <w:sym w:font="Wingdings 2" w:char="0052"/>
            </w:r>
            <w:r>
              <w:rPr>
                <w:rFonts w:hint="eastAsia"/>
              </w:rPr>
              <w:t xml:space="preserve">不适用  </w:t>
            </w:r>
          </w:p>
          <w:p>
            <w:pPr>
              <w:shd w:val="clear" w:color="auto" w:fill="C7DAF1" w:themeFill="text2" w:themeFillTint="32"/>
              <w:rPr>
                <w:u w:val="single"/>
              </w:rPr>
            </w:pPr>
            <w:r>
              <w:rPr>
                <w:rFonts w:hint="eastAsia"/>
              </w:rPr>
              <w:t xml:space="preserve">特种设备管理：进行了定期检验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w:t>
            </w:r>
            <w:bookmarkStart w:id="34" w:name="_GoBack"/>
            <w:bookmarkEnd w:id="34"/>
            <w:r>
              <w:rPr>
                <w:rFonts w:hint="eastAsia"/>
              </w:rPr>
              <w:t>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ascii="Times New Roman" w:hAnsi="Times New Roman" w:eastAsia="宋体" w:cs="Times New Roman"/>
                <w:szCs w:val="21"/>
                <w:u w:val="single"/>
                <w:lang w:val="en-US" w:eastAsia="zh-CN"/>
              </w:rPr>
              <w:t>游标卡尺</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val="en-US" w:eastAsia="zh-CN"/>
              </w:rPr>
              <w:t>钢卷</w:t>
            </w:r>
            <w:r>
              <w:rPr>
                <w:rFonts w:hint="eastAsia" w:ascii="Times New Roman" w:hAnsi="Times New Roman" w:eastAsia="宋体" w:cs="Times New Roman"/>
                <w:szCs w:val="21"/>
                <w:u w:val="single"/>
              </w:rPr>
              <w:t>尺</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lang w:val="en-US" w:eastAsia="zh-CN"/>
              </w:rPr>
              <w:t>钢直尺、汽车衡</w:t>
            </w:r>
            <w:r>
              <w:rPr>
                <w:rFonts w:hint="eastAsia"/>
                <w:u w:val="single"/>
              </w:rPr>
              <w:t xml:space="preserve"> （列举1~4种）</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内部知识:■加工工艺 ■生产经验  ■管理软件  ■市场预测   ■企业标准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 xml:space="preserve">特种作业人员：电工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w:t>
            </w:r>
            <w:r>
              <w:rPr>
                <w:rFonts w:hint="eastAsia" w:ascii="Wingdings" w:hAnsi="Wingdings"/>
              </w:rPr>
              <w:t>¨</w:t>
            </w:r>
            <w:r>
              <w:rPr>
                <w:rFonts w:hint="eastAsia"/>
              </w:rPr>
              <w:t xml:space="preserve">看板   ■局域网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■网站  ■标语  ■展板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restart"/>
            <w:shd w:val="clear" w:color="auto" w:fill="C7DAF1" w:themeFill="text2" w:themeFillTint="32"/>
          </w:tcPr>
          <w:p>
            <w:pPr>
              <w:shd w:val="clear" w:color="auto" w:fill="C7DAF1" w:themeFill="text2" w:themeFillTint="32"/>
            </w:pPr>
            <w:r>
              <w:rPr>
                <w:rFonts w:hint="eastAsia"/>
              </w:rPr>
              <w:t>运行</w:t>
            </w:r>
          </w:p>
        </w:tc>
        <w:tc>
          <w:tcPr>
            <w:tcW w:w="9057"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■外来标准 ■企业标准  ■顾客要求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rPr>
                <w:rFonts w:hint="eastAsia" w:ascii="Times New Roman" w:hAnsi="Times New Roman" w:eastAsia="宋体" w:cs="Times New Roman"/>
              </w:rPr>
            </w:pPr>
            <w:r>
              <w:rPr>
                <w:rFonts w:hint="eastAsia" w:ascii="Times New Roman" w:hAnsi="Times New Roman" w:eastAsia="宋体" w:cs="Times New Roman"/>
              </w:rPr>
              <w:t>组织的生产和服务提供流程图（见第三条款），</w:t>
            </w:r>
          </w:p>
          <w:p>
            <w:pPr>
              <w:shd w:val="clear" w:color="auto" w:fill="C7DAF1" w:themeFill="text2" w:themeFillTint="32"/>
              <w:jc w:val="left"/>
            </w:pPr>
            <w:r>
              <w:rPr>
                <w:rFonts w:hint="eastAsia" w:ascii="Times New Roman" w:hAnsi="Times New Roman" w:eastAsia="宋体" w:cs="Times New Roman"/>
              </w:rPr>
              <w:t>认证范围内每种产品/服务流程的关键过程及</w:t>
            </w:r>
            <w:r>
              <w:rPr>
                <w:rFonts w:hint="eastAsia"/>
              </w:rPr>
              <w:t>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塑料PVC/PP板材</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混料、塑化挤出</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比例、温度符合要求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rPr>
                      <w:rFonts w:hint="default" w:eastAsia="宋体"/>
                      <w:lang w:val="en-US" w:eastAsia="zh-CN"/>
                    </w:rPr>
                  </w:pPr>
                  <w:r>
                    <w:rPr>
                      <w:rFonts w:hint="eastAsia"/>
                      <w:lang w:val="en-US" w:eastAsia="zh-CN"/>
                    </w:rPr>
                    <w:t>塑料pvc棒材</w:t>
                  </w:r>
                </w:p>
              </w:tc>
              <w:tc>
                <w:tcPr>
                  <w:tcW w:w="3665" w:type="dxa"/>
                  <w:vAlign w:val="top"/>
                </w:tcPr>
                <w:p>
                  <w:pPr>
                    <w:shd w:val="clear" w:color="auto" w:fill="C7DAF1" w:themeFill="text2" w:themeFillTint="32"/>
                    <w:jc w:val="left"/>
                    <w:rPr>
                      <w:rFonts w:hint="eastAsia" w:eastAsia="宋体"/>
                      <w:lang w:val="en-US" w:eastAsia="zh-CN"/>
                    </w:rPr>
                  </w:pPr>
                  <w:r>
                    <w:rPr>
                      <w:rFonts w:hint="eastAsia"/>
                      <w:lang w:val="en-US" w:eastAsia="zh-CN"/>
                    </w:rPr>
                    <w:t>混料、塑化挤出</w:t>
                  </w:r>
                </w:p>
              </w:tc>
              <w:tc>
                <w:tcPr>
                  <w:tcW w:w="3265" w:type="dxa"/>
                  <w:vAlign w:val="top"/>
                </w:tcPr>
                <w:p>
                  <w:pPr>
                    <w:shd w:val="clear" w:color="auto" w:fill="C7DAF1" w:themeFill="text2" w:themeFillTint="32"/>
                    <w:jc w:val="left"/>
                    <w:rPr>
                      <w:rFonts w:hint="default" w:eastAsia="宋体"/>
                      <w:lang w:val="en-US" w:eastAsia="zh-CN"/>
                    </w:rPr>
                  </w:pPr>
                  <w:r>
                    <w:rPr>
                      <w:rFonts w:hint="eastAsia"/>
                      <w:lang w:val="en-US" w:eastAsia="zh-CN"/>
                    </w:rPr>
                    <w:t>比例、温度符合要求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C7DAF1" w:themeFill="text2" w:themeFillTint="32"/>
                    <w:jc w:val="left"/>
                    <w:rPr>
                      <w:rFonts w:hint="default"/>
                      <w:lang w:val="en-US"/>
                    </w:rPr>
                  </w:pPr>
                  <w:r>
                    <w:rPr>
                      <w:rFonts w:hint="eastAsia"/>
                      <w:szCs w:val="21"/>
                      <w:lang w:val="en-US" w:eastAsia="zh-CN"/>
                    </w:rPr>
                    <w:t>塑料pp型材</w:t>
                  </w:r>
                </w:p>
              </w:tc>
              <w:tc>
                <w:tcPr>
                  <w:tcW w:w="3665" w:type="dxa"/>
                  <w:vAlign w:val="top"/>
                </w:tcPr>
                <w:p>
                  <w:pPr>
                    <w:shd w:val="clear" w:color="auto" w:fill="C7DAF1" w:themeFill="text2" w:themeFillTint="32"/>
                    <w:jc w:val="left"/>
                    <w:rPr>
                      <w:rFonts w:hint="eastAsia" w:eastAsia="宋体"/>
                      <w:lang w:val="en-US" w:eastAsia="zh-CN"/>
                    </w:rPr>
                  </w:pPr>
                  <w:r>
                    <w:rPr>
                      <w:rFonts w:hint="eastAsia"/>
                      <w:lang w:val="en-US" w:eastAsia="zh-CN"/>
                    </w:rPr>
                    <w:t>混料、塑化挤出</w:t>
                  </w:r>
                </w:p>
              </w:tc>
              <w:tc>
                <w:tcPr>
                  <w:tcW w:w="3265" w:type="dxa"/>
                  <w:vAlign w:val="top"/>
                </w:tcPr>
                <w:p>
                  <w:pPr>
                    <w:shd w:val="clear" w:color="auto" w:fill="C7DAF1" w:themeFill="text2" w:themeFillTint="32"/>
                    <w:jc w:val="left"/>
                    <w:rPr>
                      <w:rFonts w:hint="default" w:eastAsia="宋体"/>
                      <w:lang w:val="en-US" w:eastAsia="zh-CN"/>
                    </w:rPr>
                  </w:pPr>
                  <w:r>
                    <w:rPr>
                      <w:rFonts w:hint="eastAsia"/>
                      <w:lang w:val="en-US" w:eastAsia="zh-CN"/>
                    </w:rPr>
                    <w:t>比例、温度符合要求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szCs w:val="21"/>
                      <w:lang w:eastAsia="zh-CN"/>
                    </w:rPr>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default" w:eastAsia="宋体"/>
                      <w:lang w:val="en-US" w:eastAsia="zh-CN"/>
                    </w:rPr>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混料、塑化挤出</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 xml:space="preserve">对生产和服务提供过程的控制■符合要求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 xml:space="preserve">采用的标识方式：■标签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rPr>
              <w:t xml:space="preserve">■原材料 ■设备 </w:t>
            </w:r>
            <w:r>
              <w:rPr>
                <w:rFonts w:hint="eastAsia" w:ascii="Wingdings" w:hAnsi="Wingdings"/>
              </w:rPr>
              <w:t>¨</w:t>
            </w:r>
            <w:r>
              <w:rPr>
                <w:rFonts w:hint="eastAsia"/>
              </w:rPr>
              <w:t xml:space="preserve">检测设备 ■图纸 </w:t>
            </w:r>
            <w:r>
              <w:rPr>
                <w:rFonts w:hint="eastAsia" w:ascii="Wingdings" w:hAnsi="Wingdings"/>
              </w:rPr>
              <w:t>¨</w:t>
            </w:r>
            <w:r>
              <w:rPr>
                <w:rFonts w:hint="eastAsia"/>
              </w:rPr>
              <w:t xml:space="preserve">配方 </w:t>
            </w: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 xml:space="preserve">产品防护：■符合要求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■维修 ■赔偿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 xml:space="preserve">变更控制：符合要求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绩效评价</w:t>
            </w:r>
          </w:p>
        </w:tc>
        <w:tc>
          <w:tcPr>
            <w:tcW w:w="9057"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lang w:val="en-US" w:eastAsia="zh-CN"/>
              </w:rPr>
              <w:t>30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57" w:type="dxa"/>
            <w:vMerge w:val="restart"/>
            <w:shd w:val="clear" w:color="auto" w:fill="C7DAF1" w:themeFill="text2" w:themeFillTint="32"/>
          </w:tcPr>
          <w:p>
            <w:pPr>
              <w:shd w:val="clear" w:color="auto" w:fill="C7DAF1" w:themeFill="text2" w:themeFillTint="32"/>
            </w:pPr>
            <w:r>
              <w:rPr>
                <w:rFonts w:hint="eastAsia"/>
              </w:rPr>
              <w:t>改进</w:t>
            </w:r>
          </w:p>
        </w:tc>
        <w:tc>
          <w:tcPr>
            <w:tcW w:w="9057"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Merge w:val="continue"/>
            <w:shd w:val="clear" w:color="auto" w:fill="C7DAF1" w:themeFill="text2" w:themeFillTint="32"/>
          </w:tcPr>
          <w:p>
            <w:pPr>
              <w:shd w:val="clear" w:color="auto" w:fill="C7DAF1" w:themeFill="text2" w:themeFillTint="32"/>
            </w:pPr>
          </w:p>
        </w:tc>
        <w:tc>
          <w:tcPr>
            <w:tcW w:w="9057"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104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62"/>
        <w:gridCol w:w="664"/>
        <w:gridCol w:w="664"/>
        <w:gridCol w:w="663"/>
        <w:gridCol w:w="664"/>
        <w:gridCol w:w="664"/>
        <w:gridCol w:w="663"/>
        <w:gridCol w:w="664"/>
        <w:gridCol w:w="664"/>
        <w:gridCol w:w="663"/>
        <w:gridCol w:w="664"/>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4.1</w:t>
            </w:r>
          </w:p>
        </w:tc>
        <w:tc>
          <w:tcPr>
            <w:tcW w:w="657" w:type="dxa"/>
            <w:vAlign w:val="center"/>
          </w:tcPr>
          <w:p>
            <w:pPr>
              <w:shd w:val="clear" w:color="auto" w:fill="C7DAF1" w:themeFill="text2" w:themeFillTint="32"/>
              <w:rPr>
                <w:lang w:eastAsia="ja-JP"/>
              </w:rPr>
            </w:pPr>
            <w:r>
              <w:rPr>
                <w:rFonts w:hint="eastAsia"/>
              </w:rPr>
              <w:t>4.2</w:t>
            </w:r>
          </w:p>
        </w:tc>
        <w:tc>
          <w:tcPr>
            <w:tcW w:w="657" w:type="dxa"/>
            <w:vAlign w:val="center"/>
          </w:tcPr>
          <w:p>
            <w:pPr>
              <w:shd w:val="clear" w:color="auto" w:fill="C7DAF1" w:themeFill="text2" w:themeFillTint="32"/>
              <w:rPr>
                <w:lang w:eastAsia="ja-JP"/>
              </w:rPr>
            </w:pPr>
            <w:r>
              <w:rPr>
                <w:rFonts w:hint="eastAsia"/>
              </w:rPr>
              <w:t>4.3</w:t>
            </w:r>
          </w:p>
        </w:tc>
        <w:tc>
          <w:tcPr>
            <w:tcW w:w="656" w:type="dxa"/>
            <w:vAlign w:val="center"/>
          </w:tcPr>
          <w:p>
            <w:pPr>
              <w:shd w:val="clear" w:color="auto" w:fill="C7DAF1" w:themeFill="text2" w:themeFillTint="32"/>
              <w:rPr>
                <w:lang w:eastAsia="ja-JP"/>
              </w:rPr>
            </w:pPr>
            <w:r>
              <w:rPr>
                <w:rFonts w:hint="eastAsia"/>
              </w:rPr>
              <w:t>4.4</w:t>
            </w:r>
          </w:p>
        </w:tc>
        <w:tc>
          <w:tcPr>
            <w:tcW w:w="657" w:type="dxa"/>
            <w:vAlign w:val="center"/>
          </w:tcPr>
          <w:p>
            <w:pPr>
              <w:shd w:val="clear" w:color="auto" w:fill="C7DAF1" w:themeFill="text2" w:themeFillTint="32"/>
              <w:rPr>
                <w:lang w:eastAsia="ja-JP"/>
              </w:rPr>
            </w:pPr>
            <w:r>
              <w:rPr>
                <w:rFonts w:hint="eastAsia"/>
              </w:rPr>
              <w:t>5.1</w:t>
            </w:r>
          </w:p>
        </w:tc>
        <w:tc>
          <w:tcPr>
            <w:tcW w:w="657" w:type="dxa"/>
            <w:vAlign w:val="center"/>
          </w:tcPr>
          <w:p>
            <w:pPr>
              <w:shd w:val="clear" w:color="auto" w:fill="C7DAF1" w:themeFill="text2" w:themeFillTint="32"/>
              <w:rPr>
                <w:lang w:eastAsia="ja-JP"/>
              </w:rPr>
            </w:pPr>
            <w:r>
              <w:rPr>
                <w:rFonts w:hint="eastAsia"/>
              </w:rPr>
              <w:t>5.2</w:t>
            </w:r>
          </w:p>
        </w:tc>
        <w:tc>
          <w:tcPr>
            <w:tcW w:w="656" w:type="dxa"/>
            <w:vAlign w:val="center"/>
          </w:tcPr>
          <w:p>
            <w:pPr>
              <w:shd w:val="clear" w:color="auto" w:fill="C7DAF1" w:themeFill="text2" w:themeFillTint="32"/>
              <w:rPr>
                <w:lang w:eastAsia="ja-JP"/>
              </w:rPr>
            </w:pPr>
            <w:r>
              <w:rPr>
                <w:rFonts w:hint="eastAsia"/>
              </w:rPr>
              <w:t>5.3</w:t>
            </w:r>
          </w:p>
        </w:tc>
        <w:tc>
          <w:tcPr>
            <w:tcW w:w="657" w:type="dxa"/>
            <w:vAlign w:val="center"/>
          </w:tcPr>
          <w:p>
            <w:pPr>
              <w:shd w:val="clear" w:color="auto" w:fill="C7DAF1" w:themeFill="text2" w:themeFillTint="32"/>
              <w:rPr>
                <w:lang w:eastAsia="ja-JP"/>
              </w:rPr>
            </w:pPr>
            <w:r>
              <w:rPr>
                <w:rFonts w:hint="eastAsia"/>
              </w:rPr>
              <w:t>6.1</w:t>
            </w:r>
          </w:p>
        </w:tc>
        <w:tc>
          <w:tcPr>
            <w:tcW w:w="657" w:type="dxa"/>
            <w:vAlign w:val="center"/>
          </w:tcPr>
          <w:p>
            <w:pPr>
              <w:shd w:val="clear" w:color="auto" w:fill="C7DAF1" w:themeFill="text2" w:themeFillTint="32"/>
              <w:rPr>
                <w:lang w:eastAsia="ja-JP"/>
              </w:rPr>
            </w:pPr>
            <w:r>
              <w:rPr>
                <w:rFonts w:hint="eastAsia"/>
              </w:rPr>
              <w:t>6.2</w:t>
            </w:r>
          </w:p>
        </w:tc>
        <w:tc>
          <w:tcPr>
            <w:tcW w:w="656" w:type="dxa"/>
            <w:vAlign w:val="center"/>
          </w:tcPr>
          <w:p>
            <w:pPr>
              <w:shd w:val="clear" w:color="auto" w:fill="C7DAF1" w:themeFill="text2" w:themeFillTint="32"/>
              <w:rPr>
                <w:lang w:eastAsia="ja-JP"/>
              </w:rPr>
            </w:pPr>
            <w:r>
              <w:rPr>
                <w:rFonts w:hint="eastAsia"/>
              </w:rPr>
              <w:t>6.3</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shd w:val="clear" w:color="auto" w:fill="BFBFBF"/>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7.1</w:t>
            </w:r>
          </w:p>
        </w:tc>
        <w:tc>
          <w:tcPr>
            <w:tcW w:w="657" w:type="dxa"/>
            <w:vAlign w:val="center"/>
          </w:tcPr>
          <w:p>
            <w:pPr>
              <w:shd w:val="clear" w:color="auto" w:fill="C7DAF1" w:themeFill="text2" w:themeFillTint="32"/>
              <w:rPr>
                <w:lang w:eastAsia="ja-JP"/>
              </w:rPr>
            </w:pPr>
            <w:r>
              <w:rPr>
                <w:rFonts w:hint="eastAsia"/>
              </w:rPr>
              <w:t>7.2</w:t>
            </w:r>
          </w:p>
        </w:tc>
        <w:tc>
          <w:tcPr>
            <w:tcW w:w="657" w:type="dxa"/>
            <w:vAlign w:val="center"/>
          </w:tcPr>
          <w:p>
            <w:pPr>
              <w:shd w:val="clear" w:color="auto" w:fill="C7DAF1" w:themeFill="text2" w:themeFillTint="32"/>
              <w:rPr>
                <w:lang w:eastAsia="ja-JP"/>
              </w:rPr>
            </w:pPr>
            <w:r>
              <w:rPr>
                <w:rFonts w:hint="eastAsia"/>
              </w:rPr>
              <w:t>7.3</w:t>
            </w:r>
          </w:p>
        </w:tc>
        <w:tc>
          <w:tcPr>
            <w:tcW w:w="656" w:type="dxa"/>
            <w:vAlign w:val="center"/>
          </w:tcPr>
          <w:p>
            <w:pPr>
              <w:shd w:val="clear" w:color="auto" w:fill="C7DAF1" w:themeFill="text2" w:themeFillTint="32"/>
              <w:rPr>
                <w:lang w:eastAsia="ja-JP"/>
              </w:rPr>
            </w:pPr>
            <w:r>
              <w:rPr>
                <w:rFonts w:hint="eastAsia"/>
              </w:rPr>
              <w:t>7.4</w:t>
            </w:r>
          </w:p>
        </w:tc>
        <w:tc>
          <w:tcPr>
            <w:tcW w:w="657" w:type="dxa"/>
            <w:vAlign w:val="center"/>
          </w:tcPr>
          <w:p>
            <w:pPr>
              <w:shd w:val="clear" w:color="auto" w:fill="C7DAF1" w:themeFill="text2" w:themeFillTint="32"/>
              <w:rPr>
                <w:lang w:eastAsia="ja-JP"/>
              </w:rPr>
            </w:pPr>
            <w:r>
              <w:rPr>
                <w:rFonts w:hint="eastAsia"/>
              </w:rPr>
              <w:t>7.5</w:t>
            </w:r>
          </w:p>
        </w:tc>
        <w:tc>
          <w:tcPr>
            <w:tcW w:w="657" w:type="dxa"/>
            <w:vAlign w:val="center"/>
          </w:tcPr>
          <w:p>
            <w:pPr>
              <w:shd w:val="clear" w:color="auto" w:fill="C7DAF1" w:themeFill="text2" w:themeFillTint="32"/>
              <w:rPr>
                <w:lang w:eastAsia="ja-JP"/>
              </w:rPr>
            </w:pPr>
            <w:r>
              <w:rPr>
                <w:rFonts w:hint="eastAsia"/>
              </w:rPr>
              <w:t>8.1</w:t>
            </w:r>
          </w:p>
        </w:tc>
        <w:tc>
          <w:tcPr>
            <w:tcW w:w="656" w:type="dxa"/>
            <w:vAlign w:val="center"/>
          </w:tcPr>
          <w:p>
            <w:pPr>
              <w:shd w:val="clear" w:color="auto" w:fill="C7DAF1" w:themeFill="text2" w:themeFillTint="32"/>
              <w:rPr>
                <w:lang w:eastAsia="ja-JP"/>
              </w:rPr>
            </w:pPr>
            <w:r>
              <w:rPr>
                <w:rFonts w:hint="eastAsia"/>
              </w:rPr>
              <w:t>8.2</w:t>
            </w:r>
          </w:p>
        </w:tc>
        <w:tc>
          <w:tcPr>
            <w:tcW w:w="657" w:type="dxa"/>
            <w:vAlign w:val="center"/>
          </w:tcPr>
          <w:p>
            <w:pPr>
              <w:shd w:val="clear" w:color="auto" w:fill="C7DAF1" w:themeFill="text2" w:themeFillTint="32"/>
              <w:rPr>
                <w:lang w:eastAsia="ja-JP"/>
              </w:rPr>
            </w:pPr>
            <w:r>
              <w:rPr>
                <w:rFonts w:hint="eastAsia"/>
              </w:rPr>
              <w:t>8.3</w:t>
            </w:r>
          </w:p>
        </w:tc>
        <w:tc>
          <w:tcPr>
            <w:tcW w:w="657" w:type="dxa"/>
            <w:vAlign w:val="center"/>
          </w:tcPr>
          <w:p>
            <w:pPr>
              <w:shd w:val="clear" w:color="auto" w:fill="C7DAF1" w:themeFill="text2" w:themeFillTint="32"/>
              <w:rPr>
                <w:lang w:eastAsia="ja-JP"/>
              </w:rPr>
            </w:pPr>
            <w:r>
              <w:rPr>
                <w:rFonts w:hint="eastAsia"/>
              </w:rPr>
              <w:t>8.4</w:t>
            </w:r>
          </w:p>
        </w:tc>
        <w:tc>
          <w:tcPr>
            <w:tcW w:w="656" w:type="dxa"/>
            <w:vAlign w:val="center"/>
          </w:tcPr>
          <w:p>
            <w:pPr>
              <w:shd w:val="clear" w:color="auto" w:fill="C7DAF1" w:themeFill="text2" w:themeFillTint="32"/>
              <w:rPr>
                <w:lang w:eastAsia="ja-JP"/>
              </w:rPr>
            </w:pPr>
            <w:r>
              <w:rPr>
                <w:rFonts w:hint="eastAsia"/>
              </w:rPr>
              <w:t>8.5</w:t>
            </w:r>
          </w:p>
        </w:tc>
        <w:tc>
          <w:tcPr>
            <w:tcW w:w="657" w:type="dxa"/>
            <w:vAlign w:val="center"/>
          </w:tcPr>
          <w:p>
            <w:pPr>
              <w:shd w:val="clear" w:color="auto" w:fill="C7DAF1" w:themeFill="text2" w:themeFillTint="32"/>
              <w:rPr>
                <w:lang w:eastAsia="ja-JP"/>
              </w:rPr>
            </w:pPr>
            <w:r>
              <w:rPr>
                <w:rFonts w:hint="eastAsia"/>
              </w:rPr>
              <w:t>8.6</w:t>
            </w:r>
          </w:p>
        </w:tc>
        <w:tc>
          <w:tcPr>
            <w:tcW w:w="657"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default" w:eastAsia="宋体"/>
                <w:lang w:val="en-US" w:eastAsia="zh-CN"/>
              </w:rPr>
            </w:pPr>
            <w:r>
              <w:rPr>
                <w:rFonts w:hint="eastAsia" w:eastAsia="宋体"/>
                <w:lang w:val="en-US" w:eastAsia="zh-CN"/>
              </w:rPr>
              <w:t>3</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6"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c>
          <w:tcPr>
            <w:tcW w:w="657"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标准条款</w:t>
            </w:r>
          </w:p>
        </w:tc>
        <w:tc>
          <w:tcPr>
            <w:tcW w:w="655" w:type="dxa"/>
            <w:vAlign w:val="center"/>
          </w:tcPr>
          <w:p>
            <w:pPr>
              <w:shd w:val="clear" w:color="auto" w:fill="C7DAF1" w:themeFill="text2" w:themeFillTint="32"/>
              <w:rPr>
                <w:lang w:eastAsia="ja-JP"/>
              </w:rPr>
            </w:pPr>
            <w:r>
              <w:rPr>
                <w:rFonts w:hint="eastAsia"/>
              </w:rPr>
              <w:t>9.1</w:t>
            </w:r>
          </w:p>
        </w:tc>
        <w:tc>
          <w:tcPr>
            <w:tcW w:w="657" w:type="dxa"/>
            <w:vAlign w:val="center"/>
          </w:tcPr>
          <w:p>
            <w:pPr>
              <w:shd w:val="clear" w:color="auto" w:fill="C7DAF1" w:themeFill="text2" w:themeFillTint="32"/>
              <w:rPr>
                <w:lang w:eastAsia="ja-JP"/>
              </w:rPr>
            </w:pPr>
            <w:r>
              <w:rPr>
                <w:rFonts w:hint="eastAsia"/>
              </w:rPr>
              <w:t>9.2</w:t>
            </w:r>
          </w:p>
        </w:tc>
        <w:tc>
          <w:tcPr>
            <w:tcW w:w="657" w:type="dxa"/>
            <w:vAlign w:val="center"/>
          </w:tcPr>
          <w:p>
            <w:pPr>
              <w:shd w:val="clear" w:color="auto" w:fill="C7DAF1" w:themeFill="text2" w:themeFillTint="32"/>
              <w:rPr>
                <w:lang w:eastAsia="ja-JP"/>
              </w:rPr>
            </w:pPr>
            <w:r>
              <w:rPr>
                <w:rFonts w:hint="eastAsia"/>
              </w:rPr>
              <w:t>9.3</w:t>
            </w:r>
          </w:p>
        </w:tc>
        <w:tc>
          <w:tcPr>
            <w:tcW w:w="656" w:type="dxa"/>
            <w:vAlign w:val="center"/>
          </w:tcPr>
          <w:p>
            <w:pPr>
              <w:shd w:val="clear" w:color="auto" w:fill="C7DAF1" w:themeFill="text2" w:themeFillTint="32"/>
              <w:rPr>
                <w:lang w:eastAsia="ja-JP"/>
              </w:rPr>
            </w:pPr>
            <w:r>
              <w:rPr>
                <w:rFonts w:hint="eastAsia"/>
              </w:rPr>
              <w:t>10.1</w:t>
            </w:r>
          </w:p>
        </w:tc>
        <w:tc>
          <w:tcPr>
            <w:tcW w:w="657" w:type="dxa"/>
            <w:vAlign w:val="center"/>
          </w:tcPr>
          <w:p>
            <w:pPr>
              <w:shd w:val="clear" w:color="auto" w:fill="C7DAF1" w:themeFill="text2" w:themeFillTint="32"/>
              <w:rPr>
                <w:lang w:eastAsia="ja-JP"/>
              </w:rPr>
            </w:pPr>
            <w:r>
              <w:rPr>
                <w:rFonts w:hint="eastAsia"/>
              </w:rPr>
              <w:t>10.2</w:t>
            </w:r>
          </w:p>
        </w:tc>
        <w:tc>
          <w:tcPr>
            <w:tcW w:w="657" w:type="dxa"/>
            <w:vAlign w:val="center"/>
          </w:tcPr>
          <w:p>
            <w:pPr>
              <w:shd w:val="clear" w:color="auto" w:fill="C7DAF1" w:themeFill="text2" w:themeFillTint="32"/>
              <w:rPr>
                <w:lang w:eastAsia="ja-JP"/>
              </w:rPr>
            </w:pPr>
            <w:r>
              <w:rPr>
                <w:rFonts w:hint="eastAsia"/>
              </w:rPr>
              <w:t>10.3</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lang w:val="en-GB"/>
              </w:rPr>
              <w:t>评价*)</w:t>
            </w:r>
          </w:p>
        </w:tc>
        <w:tc>
          <w:tcPr>
            <w:tcW w:w="655"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7"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35" w:type="dxa"/>
            <w:vAlign w:val="center"/>
          </w:tcPr>
          <w:p>
            <w:pPr>
              <w:shd w:val="clear" w:color="auto" w:fill="C7DAF1" w:themeFill="text2" w:themeFillTint="32"/>
              <w:rPr>
                <w:lang w:eastAsia="ja-JP"/>
              </w:rPr>
            </w:pPr>
            <w:r>
              <w:rPr>
                <w:rFonts w:hint="eastAsia"/>
              </w:rPr>
              <w:t>不符合数量</w:t>
            </w:r>
          </w:p>
        </w:tc>
        <w:tc>
          <w:tcPr>
            <w:tcW w:w="655"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7" w:type="dxa"/>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6"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c>
          <w:tcPr>
            <w:tcW w:w="657"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t>附件 ISO 14001:2015 (若不是ISO 14001:2015审核请删除)</w:t>
      </w:r>
    </w:p>
    <w:tbl>
      <w:tblPr>
        <w:tblStyle w:val="9"/>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57"/>
        <w:gridCol w:w="9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审核周期</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r>
              <w:rPr>
                <w:rFonts w:hint="eastAsia"/>
              </w:rPr>
              <w:sym w:font="Wingdings 2" w:char="0052"/>
            </w:r>
            <w:r>
              <w:rPr>
                <w:rFonts w:hint="eastAsia"/>
              </w:rPr>
              <w:t>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体系要素</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组织环境</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firstLine="1260" w:firstLineChars="600"/>
                    <w:rPr>
                      <w:rFonts w:hint="default"/>
                    </w:rPr>
                  </w:pPr>
                </w:p>
              </w:tc>
              <w:tc>
                <w:tcPr>
                  <w:tcW w:w="7375" w:type="dxa"/>
                </w:tcPr>
                <w:p>
                  <w:pPr>
                    <w:keepNext w:val="0"/>
                    <w:keepLines w:val="0"/>
                    <w:suppressLineNumbers w:val="0"/>
                    <w:shd w:val="clear" w:color="auto" w:fill="EBF1DE" w:themeFill="accent3" w:themeFillTint="32"/>
                    <w:spacing w:before="0" w:beforeAutospacing="0" w:after="0" w:afterAutospacing="0"/>
                    <w:ind w:left="0" w:right="0" w:firstLine="420" w:firstLineChars="200"/>
                    <w:rPr>
                      <w:rFonts w:hint="default"/>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外部环境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□文化 □社会 </w:t>
                  </w:r>
                  <w:r>
                    <w:rPr>
                      <w:rFonts w:hint="eastAsia"/>
                    </w:rPr>
                    <w:sym w:font="Wingdings 2" w:char="0052"/>
                  </w:r>
                  <w:r>
                    <w:rPr>
                      <w:rFonts w:hint="eastAsia"/>
                    </w:rPr>
                    <w:t xml:space="preserve">经济环境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政治 □监管  □财务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内部环境</w:t>
                  </w:r>
                </w:p>
              </w:tc>
              <w:tc>
                <w:tcPr>
                  <w:tcW w:w="737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□绩效 </w:t>
                  </w:r>
                  <w:r>
                    <w:rPr>
                      <w:rFonts w:hint="eastAsia"/>
                    </w:rPr>
                    <w:sym w:font="Wingdings 2" w:char="0052"/>
                  </w:r>
                  <w:r>
                    <w:rPr>
                      <w:rFonts w:hint="eastAsia"/>
                    </w:rPr>
                    <w:t xml:space="preserve">工艺 □设备 </w:t>
                  </w:r>
                  <w:r>
                    <w:rPr>
                      <w:rFonts w:hint="eastAsia"/>
                    </w:rPr>
                    <w:sym w:font="Wingdings 2" w:char="0052"/>
                  </w:r>
                  <w:r>
                    <w:rPr>
                      <w:rFonts w:hint="eastAsia"/>
                    </w:rPr>
                    <w:t xml:space="preserve">人员能力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default"/>
                    </w:rPr>
                    <w:t>活动、产品和服务</w:t>
                  </w:r>
                  <w:r>
                    <w:rPr>
                      <w:rFonts w:hint="eastAsia"/>
                    </w:rPr>
                    <w:t xml:space="preserve"> </w:t>
                  </w:r>
                  <w:r>
                    <w:rPr>
                      <w:rFonts w:hint="eastAsia"/>
                    </w:rPr>
                    <w:sym w:font="Wingdings 2" w:char="0052"/>
                  </w:r>
                  <w:r>
                    <w:rPr>
                      <w:rFonts w:hint="default"/>
                    </w:rPr>
                    <w:t>战略方向</w:t>
                  </w:r>
                  <w:r>
                    <w:rPr>
                      <w:rFonts w:hint="eastAsia"/>
                    </w:rPr>
                    <w:t xml:space="preserve"> □其他</w:t>
                  </w: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主管部门</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供方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顾客</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社区</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员工</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□投资方</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□其他</w:t>
                  </w:r>
                </w:p>
              </w:tc>
              <w:tc>
                <w:tcPr>
                  <w:tcW w:w="6912"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组织运用生命周期观点明确相关环境管理体系的范围；（详见第一条款审核范围）</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已将环境管理体系要求融入到其各项业务过程中，包括：</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□仓库管理 </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 xml:space="preserve">达标排放 </w:t>
            </w:r>
            <w:r>
              <w:rPr>
                <w:rFonts w:hint="eastAsia"/>
              </w:rPr>
              <w:sym w:font="Wingdings 2" w:char="0052"/>
            </w:r>
            <w:r>
              <w:rPr>
                <w:rFonts w:hint="eastAsia"/>
              </w:rPr>
              <w:t xml:space="preserve">消防控制 </w:t>
            </w:r>
            <w:r>
              <w:rPr>
                <w:rFonts w:hint="eastAsia"/>
              </w:rPr>
              <w:sym w:font="Wingdings 2" w:char="00A3"/>
            </w:r>
            <w:r>
              <w:rPr>
                <w:rFonts w:hint="eastAsia"/>
              </w:rPr>
              <w:t xml:space="preserve">危化品管理 </w:t>
            </w:r>
            <w:r>
              <w:rPr>
                <w:rFonts w:hint="eastAsia"/>
              </w:rPr>
              <w:sym w:font="Wingdings 2" w:char="00A3"/>
            </w:r>
            <w:r>
              <w:rPr>
                <w:rFonts w:hint="eastAsia"/>
              </w:rPr>
              <w:t xml:space="preserve">特种设备管理 </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sym w:font="Wingdings 2" w:char="0052"/>
            </w:r>
            <w:r>
              <w:rPr>
                <w:rFonts w:hint="eastAsia"/>
              </w:rPr>
              <w:t>环评三同时 □其他</w:t>
            </w:r>
          </w:p>
          <w:p>
            <w:pPr>
              <w:keepNext w:val="0"/>
              <w:keepLines w:val="0"/>
              <w:suppressLineNumbers w:val="0"/>
              <w:shd w:val="clear" w:color="auto" w:fill="EBF1DE" w:themeFill="accent3" w:themeFillTint="32"/>
              <w:spacing w:before="40" w:beforeAutospacing="0" w:after="40" w:afterAutospacing="0"/>
              <w:ind w:left="0" w:right="0"/>
              <w:rPr>
                <w:rFonts w:hint="default"/>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 xml:space="preserve">□危险废物处置 □消防检测 □生产/服务过程 □环保监测 </w:t>
            </w:r>
            <w:r>
              <w:rPr>
                <w:rFonts w:hint="eastAsia"/>
              </w:rPr>
              <w:sym w:font="Wingdings 2" w:char="0052"/>
            </w:r>
            <w:r>
              <w:rPr>
                <w:rFonts w:hint="eastAsia"/>
              </w:rPr>
              <w:t>产品运输 □设备维修</w:t>
            </w:r>
          </w:p>
          <w:p>
            <w:pPr>
              <w:keepNext w:val="0"/>
              <w:keepLines w:val="0"/>
              <w:suppressLineNumbers w:val="0"/>
              <w:shd w:val="clear" w:color="auto" w:fill="EBF1DE" w:themeFill="accent3" w:themeFillTint="32"/>
              <w:spacing w:before="40" w:beforeAutospacing="0" w:after="40" w:afterAutospacing="0"/>
              <w:ind w:left="0" w:right="0"/>
              <w:rPr>
                <w:rFonts w:hint="default"/>
              </w:rPr>
            </w:pPr>
            <w:r>
              <w:rPr>
                <w:rFonts w:hint="eastAsia"/>
              </w:rPr>
              <w:t>□人员培训 □其他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领导作用</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最高管理者制定了文件化的管理体系方针：</w:t>
            </w:r>
            <w:r>
              <w:rPr>
                <w:rFonts w:hint="eastAsia"/>
                <w:u w:val="single"/>
              </w:rPr>
              <w:t xml:space="preserve">     守法诚信追求精品，预防污染保护环境；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最高管理者确定了组织架构及相关岗位的职责、权限，并进行了全员的沟通和理解；</w:t>
            </w:r>
          </w:p>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rPr>
              <w:t>EMS的主管部门是——</w:t>
            </w:r>
            <w:r>
              <w:rPr>
                <w:rFonts w:hint="eastAsia"/>
                <w:lang w:val="en-US" w:eastAsia="zh-CN"/>
              </w:rPr>
              <w:t>综合部</w:t>
            </w:r>
          </w:p>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策划</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color w:val="FF0000"/>
                    </w:rPr>
                  </w:pPr>
                  <w:r>
                    <w:rPr>
                      <w:rFonts w:hint="eastAsia" w:ascii="Times New Roman" w:hAnsi="Times New Roman" w:eastAsia="宋体" w:cs="Times New Roman"/>
                    </w:rPr>
                    <w:t>主要的风险或机遇描述</w:t>
                  </w: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color w:val="FF0000"/>
                    </w:rPr>
                  </w:pPr>
                  <w:r>
                    <w:rPr>
                      <w:rFonts w:hint="eastAsia" w:ascii="Times New Roman" w:hAnsi="Times New Roman" w:eastAsia="宋体" w:cs="Times New Roman"/>
                    </w:rPr>
                    <w:t>应对措施</w:t>
                  </w: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szCs w:val="21"/>
                    </w:rPr>
                  </w:pPr>
                  <w:r>
                    <w:rPr>
                      <w:rFonts w:hint="eastAsia" w:ascii="Times New Roman" w:hAnsi="Times New Roman" w:eastAsia="宋体" w:cs="Times New Roman"/>
                      <w:szCs w:val="21"/>
                    </w:rPr>
                    <w:t>产品及人工成本不断提高，是对资金风险的考验，但不会是关键风险</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人员素质参差不齐，环保意识不强，对岗位环境因素认识不足，控制方法不明确</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适用环境法律法规的识别、收集及宣传不够，相对应公司内部活动及环境因素不够明确，部份员工守法意识淡薄</w:t>
                  </w:r>
                </w:p>
              </w:tc>
              <w:tc>
                <w:tcPr>
                  <w:tcW w:w="3965" w:type="dxa"/>
                  <w:vAlign w:val="top"/>
                </w:tcPr>
                <w:p>
                  <w:pP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制定相应程序文件，组织员工参与岗位环境因素的识别，岗位重要因素的培训；加强识别、收集，定期更新，重要条款予以培训或纳入制度中</w:t>
                  </w:r>
                </w:p>
              </w:tc>
              <w:tc>
                <w:tcPr>
                  <w:tcW w:w="1717" w:type="dxa"/>
                  <w:vAlign w:val="top"/>
                </w:tcPr>
                <w:p>
                  <w:pP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2"/>
                      <w:szCs w:val="22"/>
                      <w:lang w:val="en-US" w:eastAsia="zh-CN" w:bidi="ar-SA"/>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3965"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1717" w:type="dxa"/>
                </w:tcPr>
                <w:p>
                  <w:pPr>
                    <w:keepNext w:val="0"/>
                    <w:keepLines w:val="0"/>
                    <w:suppressLineNumbers w:val="0"/>
                    <w:shd w:val="clear" w:color="auto" w:fill="EBF1DE" w:themeFill="accent3" w:themeFillTint="32"/>
                    <w:spacing w:before="0" w:beforeAutospacing="0" w:after="0" w:afterAutospacing="0"/>
                    <w:ind w:left="0" w:right="0"/>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、异常状况和可合理预见的紧急情况。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制订了文件化的评价重要环境因素的准则，重要环境因素已识别，且对它们的重要性和对环境的影响被定期评审和更新。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重</w:t>
            </w:r>
            <w:r>
              <w:rPr>
                <w:rFonts w:hint="eastAsia" w:ascii="Times New Roman" w:hAnsi="Times New Roman" w:eastAsia="宋体" w:cs="Times New Roman"/>
              </w:rPr>
              <w:t>要环境因素包括</w:t>
            </w:r>
            <w:r>
              <w:rPr>
                <w:rFonts w:hint="eastAsia"/>
              </w:rPr>
              <w:t>(必要时，按每个场所来描述):（不必全选）</w:t>
            </w:r>
          </w:p>
          <w:p>
            <w:pPr>
              <w:keepNext w:val="0"/>
              <w:keepLines w:val="0"/>
              <w:suppressLineNumbers w:val="0"/>
              <w:shd w:val="clear" w:color="auto" w:fill="EBF1DE" w:themeFill="accent3" w:themeFillTint="32"/>
              <w:spacing w:before="40" w:beforeAutospacing="0" w:after="40" w:afterAutospacing="0"/>
              <w:ind w:left="0" w:right="0"/>
              <w:rPr>
                <w:rFonts w:hint="default"/>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w:t>
            </w:r>
            <w:r>
              <w:rPr>
                <w:rFonts w:hint="eastAsia"/>
              </w:rPr>
              <w:sym w:font="Wingdings 2" w:char="00A3"/>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A3"/>
            </w:r>
            <w:r>
              <w:rPr>
                <w:rFonts w:hint="eastAsia"/>
              </w:rPr>
              <w:t xml:space="preserve">粉尘排放  </w:t>
            </w:r>
            <w:r>
              <w:rPr>
                <w:rFonts w:hint="eastAsia"/>
              </w:rPr>
              <w:sym w:font="Wingdings 2" w:char="00A3"/>
            </w:r>
            <w:r>
              <w:rPr>
                <w:rFonts w:hint="eastAsia"/>
              </w:rPr>
              <w:t xml:space="preserve">危废排放 </w:t>
            </w:r>
            <w:r>
              <w:rPr>
                <w:rFonts w:hint="eastAsia"/>
              </w:rPr>
              <w:sym w:font="Wingdings 2" w:char="0052"/>
            </w:r>
            <w:r>
              <w:rPr>
                <w:rFonts w:hint="eastAsia"/>
              </w:rPr>
              <w:t xml:space="preserve">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组织定期确定并获取</w:t>
            </w:r>
            <w:r>
              <w:rPr>
                <w:rFonts w:hint="eastAsia"/>
              </w:rPr>
              <w:t>了</w:t>
            </w:r>
            <w:r>
              <w:rPr>
                <w:rFonts w:hint="default"/>
              </w:rPr>
              <w:t>与其环境因素有关的</w:t>
            </w:r>
            <w:r>
              <w:rPr>
                <w:rFonts w:hint="eastAsia"/>
              </w:rPr>
              <w:t>文件化的</w:t>
            </w:r>
            <w:r>
              <w:rPr>
                <w:rFonts w:hint="default"/>
              </w:rPr>
              <w:t>合规义务； 将这些合规义务应用于组织； 在建立、实施、保持和持续改进其环境管理体系时必须考虑这些合规义务。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default"/>
              </w:rPr>
              <w:t>组织</w:t>
            </w:r>
            <w:r>
              <w:rPr>
                <w:rFonts w:hint="eastAsia"/>
              </w:rPr>
              <w:t>提供了</w:t>
            </w:r>
            <w:r>
              <w:rPr>
                <w:rFonts w:hint="default"/>
              </w:rPr>
              <w:t>下列许可和授权(必要时，按每个场所来描述):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□安全生产许可证编号：</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 xml:space="preserve">排污许可证编号： </w:t>
            </w:r>
            <w:r>
              <w:rPr>
                <w:rFonts w:hint="eastAsia"/>
                <w:u w:val="single"/>
              </w:rPr>
              <w:t xml:space="preserve">      </w:t>
            </w:r>
            <w:r>
              <w:rPr>
                <w:rFonts w:hint="eastAsia"/>
                <w:u w:val="single"/>
                <w:lang w:val="en-US" w:eastAsia="zh-CN"/>
              </w:rPr>
              <w:t xml:space="preserve">9113063606165223XA001Y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□环境影响登记表日期：</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环境影响报告表日期：</w:t>
            </w:r>
            <w:r>
              <w:rPr>
                <w:rFonts w:hint="eastAsia"/>
                <w:u w:val="single"/>
              </w:rPr>
              <w:t xml:space="preserve">      </w:t>
            </w:r>
            <w:r>
              <w:rPr>
                <w:rFonts w:hint="eastAsia"/>
                <w:u w:val="single"/>
                <w:lang w:val="en-US" w:eastAsia="zh-CN"/>
              </w:rPr>
              <w:t>2013.10</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环境</w:t>
            </w:r>
            <w:r>
              <w:rPr>
                <w:rFonts w:hint="eastAsia"/>
                <w:lang w:val="en-US" w:eastAsia="zh-CN"/>
              </w:rPr>
              <w:t>保护验收报告</w:t>
            </w:r>
            <w:r>
              <w:rPr>
                <w:rFonts w:hint="eastAsia"/>
              </w:rPr>
              <w:t>日期：</w:t>
            </w:r>
            <w:r>
              <w:rPr>
                <w:rFonts w:hint="eastAsia"/>
                <w:u w:val="single"/>
              </w:rPr>
              <w:t xml:space="preserve">       </w:t>
            </w:r>
            <w:r>
              <w:rPr>
                <w:rFonts w:hint="eastAsia"/>
                <w:u w:val="single"/>
                <w:lang w:val="en-US" w:eastAsia="zh-CN"/>
              </w:rPr>
              <w:t>2018.9</w:t>
            </w:r>
            <w:r>
              <w:rPr>
                <w:rFonts w:hint="eastAsia"/>
                <w:u w:val="single"/>
              </w:rPr>
              <w:t xml:space="preserve">            </w:t>
            </w: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□消防验收/备案证明日期：</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组织策划并采取措施管理其重要环境因素、合规义务和识别的风险和机遇；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A3"/>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A3"/>
            </w:r>
            <w:r>
              <w:rPr>
                <w:rFonts w:hint="eastAsia"/>
              </w:rPr>
              <w:t xml:space="preserve">危废合法处置 </w:t>
            </w:r>
            <w:r>
              <w:rPr>
                <w:rFonts w:hint="eastAsia"/>
              </w:rPr>
              <w:sym w:font="Wingdings 2" w:char="0052"/>
            </w:r>
            <w:r>
              <w:rPr>
                <w:rFonts w:hint="eastAsia"/>
              </w:rPr>
              <w:t xml:space="preserve">使用节能设备  </w:t>
            </w:r>
            <w:r>
              <w:rPr>
                <w:rFonts w:hint="eastAsia"/>
              </w:rPr>
              <w:sym w:font="Wingdings 2" w:char="00A3"/>
            </w:r>
            <w:r>
              <w:rPr>
                <w:rFonts w:hint="eastAsia"/>
              </w:rPr>
              <w:t xml:space="preserve">危化品控制 </w:t>
            </w:r>
          </w:p>
          <w:p>
            <w:pPr>
              <w:keepNext w:val="0"/>
              <w:keepLines w:val="0"/>
              <w:suppressLineNumbers w:val="0"/>
              <w:shd w:val="clear" w:color="auto" w:fill="EBF1DE" w:themeFill="accent3" w:themeFillTint="32"/>
              <w:spacing w:before="0" w:beforeAutospacing="0" w:after="0" w:afterAutospacing="0"/>
              <w:ind w:left="0" w:right="0"/>
              <w:rPr>
                <w:rFonts w:hint="default"/>
                <w:highlight w:val="cyan"/>
              </w:rPr>
            </w:pPr>
            <w:r>
              <w:rPr>
                <w:rFonts w:hint="eastAsia"/>
              </w:rPr>
              <w:sym w:font="Wingdings 2" w:char="00A3"/>
            </w: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环境目标</w:t>
                  </w:r>
                </w:p>
              </w:tc>
              <w:tc>
                <w:tcPr>
                  <w:tcW w:w="3136"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控制措施</w:t>
                  </w:r>
                </w:p>
              </w:tc>
              <w:tc>
                <w:tcPr>
                  <w:tcW w:w="1350"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责任部门</w:t>
                  </w:r>
                </w:p>
              </w:tc>
              <w:tc>
                <w:tcPr>
                  <w:tcW w:w="1774" w:type="dxa"/>
                  <w:shd w:val="clear" w:color="auto" w:fill="auto"/>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keepNext w:val="0"/>
                    <w:keepLines w:val="0"/>
                    <w:suppressLineNumbers w:val="0"/>
                    <w:shd w:val="clear" w:color="auto" w:fill="EBF1DE" w:themeFill="accent3" w:themeFillTint="32"/>
                    <w:autoSpaceDE w:val="0"/>
                    <w:autoSpaceDN w:val="0"/>
                    <w:adjustRightInd w:val="0"/>
                    <w:spacing w:before="0" w:beforeAutospacing="0" w:after="0" w:afterAutospacing="0"/>
                    <w:ind w:left="0" w:right="0"/>
                    <w:jc w:val="left"/>
                    <w:rPr>
                      <w:rFonts w:hint="default"/>
                    </w:rPr>
                  </w:pPr>
                  <w:r>
                    <w:rPr>
                      <w:rFonts w:hint="eastAsia" w:ascii="宋体" w:hAnsi="宋体" w:eastAsia="宋体" w:cs="宋体"/>
                      <w:kern w:val="0"/>
                      <w:sz w:val="21"/>
                      <w:szCs w:val="21"/>
                      <w:lang w:bidi="ar"/>
                    </w:rPr>
                    <w:t>固体废弃物100%分类，合理处理</w:t>
                  </w:r>
                </w:p>
              </w:tc>
              <w:tc>
                <w:tcPr>
                  <w:tcW w:w="3136"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ascii="宋体" w:hAnsi="宋体" w:eastAsia="宋体" w:cs="宋体"/>
                      <w:sz w:val="21"/>
                      <w:szCs w:val="21"/>
                      <w:lang w:val="en-US" w:eastAsia="zh-CN"/>
                    </w:rPr>
                    <w:t>、对各区域的固体废弃物分类处理；定期检查监督</w:t>
                  </w: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eastAsia="宋体"/>
                      <w:lang w:val="en-US" w:eastAsia="zh-CN"/>
                    </w:rPr>
                  </w:pPr>
                  <w:r>
                    <w:rPr>
                      <w:rFonts w:hint="eastAsia"/>
                      <w:lang w:val="en-US" w:eastAsia="zh-CN"/>
                    </w:rPr>
                    <w:t>综合部</w:t>
                  </w: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Times New Roman" w:hAnsi="Times New Roman" w:eastAsia="宋体" w:cs="Times New Roman"/>
                      <w:kern w:val="2"/>
                      <w:sz w:val="24"/>
                      <w:szCs w:val="24"/>
                      <w:lang w:val="en-US" w:eastAsia="zh-CN" w:bidi="ar-SA"/>
                    </w:rPr>
                  </w:pPr>
                  <w:r>
                    <w:rPr>
                      <w:rFonts w:hint="eastAsia" w:ascii="宋体" w:hAnsi="宋体" w:eastAsia="宋体" w:cs="宋体"/>
                      <w:kern w:val="0"/>
                      <w:sz w:val="21"/>
                      <w:szCs w:val="21"/>
                      <w:lang w:bidi="ar"/>
                    </w:rPr>
                    <w:t>环境污染事故发生率为零</w:t>
                  </w:r>
                </w:p>
              </w:tc>
              <w:tc>
                <w:tcPr>
                  <w:tcW w:w="3136" w:type="dxa"/>
                  <w:shd w:val="clear" w:color="auto" w:fill="auto"/>
                  <w:vAlign w:val="center"/>
                </w:tcPr>
                <w:p>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对重大环境因素进行识别，严格把控。</w:t>
                  </w:r>
                </w:p>
                <w:p>
                  <w:pPr>
                    <w:keepNext w:val="0"/>
                    <w:keepLines w:val="0"/>
                    <w:suppressLineNumbers w:val="0"/>
                    <w:spacing w:before="0" w:beforeAutospacing="0" w:after="0" w:afterAutospacing="0" w:line="400" w:lineRule="exact"/>
                    <w:ind w:left="0" w:right="0"/>
                    <w:rPr>
                      <w:rFonts w:hint="default" w:ascii="宋体" w:hAnsi="宋体" w:eastAsia="宋体" w:cs="Times New Roman"/>
                      <w:kern w:val="2"/>
                      <w:sz w:val="21"/>
                      <w:szCs w:val="21"/>
                      <w:lang w:val="en-US" w:eastAsia="zh-CN" w:bidi="ar-SA"/>
                    </w:rPr>
                  </w:pP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eastAsia="宋体"/>
                      <w:lang w:val="en-US" w:eastAsia="zh-CN"/>
                    </w:rPr>
                  </w:pPr>
                  <w:r>
                    <w:rPr>
                      <w:rFonts w:hint="eastAsia"/>
                      <w:lang w:val="en-US" w:eastAsia="zh-CN"/>
                    </w:rPr>
                    <w:t>综合部</w:t>
                  </w: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rPr>
                  </w:pPr>
                  <w:r>
                    <w:rPr>
                      <w:rFonts w:hint="eastAsia" w:ascii="宋体" w:hAnsi="宋体" w:eastAsia="宋体" w:cs="宋体"/>
                      <w:kern w:val="0"/>
                      <w:sz w:val="21"/>
                      <w:szCs w:val="21"/>
                      <w:lang w:bidi="ar"/>
                    </w:rPr>
                    <w:t>杜绝火灾事故，火灾事故发生率为零</w:t>
                  </w:r>
                </w:p>
              </w:tc>
              <w:tc>
                <w:tcPr>
                  <w:tcW w:w="3136" w:type="dxa"/>
                  <w:shd w:val="clear" w:color="auto" w:fill="auto"/>
                  <w:vAlign w:val="center"/>
                </w:tcPr>
                <w:p>
                  <w:pPr>
                    <w:keepNext w:val="0"/>
                    <w:keepLines w:val="0"/>
                    <w:suppressLineNumbers w:val="0"/>
                    <w:spacing w:before="0" w:beforeAutospacing="0" w:after="0" w:afterAutospacing="0" w:line="400" w:lineRule="exact"/>
                    <w:ind w:left="0" w:right="0"/>
                    <w:rPr>
                      <w:rFonts w:hint="default" w:ascii="宋体" w:hAnsi="宋体" w:eastAsia="宋体"/>
                      <w:szCs w:val="21"/>
                      <w:lang w:val="en-US" w:eastAsia="zh-CN"/>
                    </w:rPr>
                  </w:pPr>
                  <w:r>
                    <w:rPr>
                      <w:rFonts w:hint="eastAsia" w:ascii="宋体" w:hAnsi="宋体"/>
                      <w:szCs w:val="21"/>
                      <w:lang w:val="en-US" w:eastAsia="zh-CN"/>
                    </w:rPr>
                    <w:t>防火安全意识教育，产生火灾的因素进行识别，定期进行安全检查。</w:t>
                  </w: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eastAsia="宋体"/>
                      <w:szCs w:val="21"/>
                      <w:lang w:val="en-US" w:eastAsia="zh-CN"/>
                    </w:rPr>
                  </w:pPr>
                  <w:r>
                    <w:rPr>
                      <w:rFonts w:hint="eastAsia"/>
                      <w:lang w:val="en-US" w:eastAsia="zh-CN"/>
                    </w:rPr>
                    <w:t>综合部</w:t>
                  </w: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91" w:type="dxa"/>
                  <w:shd w:val="clear" w:color="auto" w:fill="auto"/>
                  <w:vAlign w:val="top"/>
                </w:tcPr>
                <w:p>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hAnsi="宋体"/>
                    </w:rPr>
                  </w:pPr>
                </w:p>
              </w:tc>
              <w:tc>
                <w:tcPr>
                  <w:tcW w:w="3136" w:type="dxa"/>
                  <w:shd w:val="clear" w:color="auto" w:fill="auto"/>
                  <w:vAlign w:val="center"/>
                </w:tcPr>
                <w:p>
                  <w:pPr>
                    <w:keepNext w:val="0"/>
                    <w:keepLines w:val="0"/>
                    <w:suppressLineNumbers w:val="0"/>
                    <w:spacing w:before="0" w:beforeAutospacing="0" w:after="0" w:afterAutospacing="0" w:line="400" w:lineRule="exact"/>
                    <w:ind w:left="0" w:right="0"/>
                    <w:rPr>
                      <w:rFonts w:hint="default" w:ascii="宋体" w:hAnsi="宋体" w:eastAsia="宋体"/>
                      <w:szCs w:val="21"/>
                      <w:lang w:val="en-US" w:eastAsia="zh-CN"/>
                    </w:rPr>
                  </w:pPr>
                </w:p>
              </w:tc>
              <w:tc>
                <w:tcPr>
                  <w:tcW w:w="1350"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rPr>
                      <w:rFonts w:hint="default" w:ascii="宋体" w:hAnsi="宋体" w:eastAsia="宋体"/>
                      <w:szCs w:val="21"/>
                      <w:lang w:val="en-US" w:eastAsia="zh-CN"/>
                    </w:rPr>
                  </w:pPr>
                </w:p>
              </w:tc>
              <w:tc>
                <w:tcPr>
                  <w:tcW w:w="1774" w:type="dxa"/>
                  <w:shd w:val="clear" w:color="auto" w:fill="auto"/>
                  <w:vAlign w:val="center"/>
                </w:tcPr>
                <w:p>
                  <w:pPr>
                    <w:keepNext w:val="0"/>
                    <w:keepLines w:val="0"/>
                    <w:suppressLineNumbers w:val="0"/>
                    <w:shd w:val="clear" w:color="auto" w:fill="EBF1DE" w:themeFill="accent3" w:themeFillTint="32"/>
                    <w:spacing w:before="0" w:beforeAutospacing="0" w:after="0" w:afterAutospacing="0"/>
                    <w:ind w:left="0" w:right="0"/>
                    <w:jc w:val="center"/>
                    <w:rPr>
                      <w:rFonts w:hint="default" w:ascii="宋体" w:hAnsi="宋体"/>
                      <w:lang w:val="en-US" w:eastAsia="zh-CN"/>
                    </w:rPr>
                  </w:pPr>
                </w:p>
              </w:tc>
            </w:tr>
          </w:tbl>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目标已实现</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支持</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组织的资源状况：</w:t>
            </w:r>
            <w:r>
              <w:rPr>
                <w:rFonts w:hint="eastAsia"/>
              </w:rPr>
              <w:sym w:font="Wingdings 2" w:char="0052"/>
            </w:r>
            <w:r>
              <w:rPr>
                <w:rFonts w:hint="eastAsia"/>
              </w:rPr>
              <w:t xml:space="preserve">人力资源 </w:t>
            </w:r>
            <w:r>
              <w:rPr>
                <w:rFonts w:hint="eastAsia" w:ascii="Wingdings" w:hAnsi="Wingdings"/>
              </w:rPr>
              <w:t>¨</w:t>
            </w:r>
            <w:r>
              <w:rPr>
                <w:rFonts w:hint="eastAsia"/>
              </w:rPr>
              <w:t xml:space="preserve">自然资源 </w:t>
            </w:r>
            <w:r>
              <w:rPr>
                <w:rFonts w:hint="eastAsia"/>
              </w:rPr>
              <w:sym w:font="Wingdings 2" w:char="0052"/>
            </w:r>
            <w:r>
              <w:rPr>
                <w:rFonts w:hint="eastAsia"/>
              </w:rPr>
              <w:t xml:space="preserve">基础设施  </w:t>
            </w:r>
            <w:r>
              <w:rPr>
                <w:rFonts w:hint="eastAsia" w:ascii="Wingdings" w:hAnsi="Wingdings"/>
              </w:rPr>
              <w:t>¨</w:t>
            </w:r>
            <w:r>
              <w:rPr>
                <w:rFonts w:hint="eastAsia"/>
              </w:rPr>
              <w:t xml:space="preserve">技术  </w:t>
            </w:r>
            <w:r>
              <w:rPr>
                <w:rFonts w:hint="eastAsia"/>
              </w:rPr>
              <w:sym w:font="Wingdings 2" w:char="0052"/>
            </w:r>
            <w:r>
              <w:rPr>
                <w:rFonts w:hint="eastAsia"/>
              </w:rPr>
              <w:t>财务资源。</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组织</w:t>
            </w:r>
            <w:r>
              <w:rPr>
                <w:rFonts w:hint="default"/>
              </w:rPr>
              <w:t>现有内部资源的能力</w:t>
            </w:r>
            <w:r>
              <w:rPr>
                <w:rFonts w:hint="eastAsia"/>
              </w:rPr>
              <w:t>可满足环境管理体系运行；</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可基本满足环境管理体系运行，但是还有不足需要补充：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rPr>
                <w:rFonts w:hint="default"/>
              </w:rPr>
              <w:t>现有内部资源的能力</w:t>
            </w:r>
            <w:r>
              <w:rPr>
                <w:rFonts w:hint="eastAsia"/>
              </w:rPr>
              <w:t>完全不能满足环境管理体系运行，</w:t>
            </w:r>
            <w:r>
              <w:rPr>
                <w:rFonts w:hint="default"/>
              </w:rP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vAlign w:val="top"/>
          </w:tcPr>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建筑面积</w:t>
            </w:r>
            <w:r>
              <w:rPr>
                <w:rFonts w:hint="eastAsia" w:ascii="Times New Roman" w:hAnsi="Times New Roman" w:eastAsia="宋体" w:cs="Times New Roman"/>
                <w:lang w:val="en-US" w:eastAsia="zh-CN"/>
              </w:rPr>
              <w:t>约1万</w:t>
            </w:r>
            <w:r>
              <w:rPr>
                <w:rFonts w:hint="eastAsia" w:ascii="Times New Roman" w:hAnsi="Times New Roman" w:eastAsia="宋体" w:cs="Times New Roman"/>
              </w:rPr>
              <w:t xml:space="preserve"> 平方米；生产车间  </w:t>
            </w:r>
            <w:r>
              <w:rPr>
                <w:rFonts w:hint="eastAsia" w:ascii="Times New Roman" w:hAnsi="Times New Roman" w:eastAsia="宋体" w:cs="Times New Roman"/>
                <w:lang w:val="en-US" w:eastAsia="zh-CN"/>
              </w:rPr>
              <w:t>2</w:t>
            </w:r>
            <w:r>
              <w:rPr>
                <w:rFonts w:hint="eastAsia" w:ascii="Times New Roman" w:hAnsi="Times New Roman" w:eastAsia="宋体" w:cs="Times New Roman"/>
              </w:rPr>
              <w:t xml:space="preserve"> 个；库房 </w:t>
            </w:r>
            <w:r>
              <w:rPr>
                <w:rFonts w:hint="eastAsia" w:ascii="Times New Roman" w:hAnsi="Times New Roman" w:eastAsia="宋体" w:cs="Times New Roman"/>
                <w:lang w:val="en-US" w:eastAsia="zh-CN"/>
              </w:rPr>
              <w:t>2</w:t>
            </w:r>
            <w:r>
              <w:rPr>
                <w:rFonts w:hint="eastAsia" w:ascii="Times New Roman" w:hAnsi="Times New Roman" w:eastAsia="宋体" w:cs="Times New Roman"/>
              </w:rPr>
              <w:t xml:space="preserve">  个；实验室   个；</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主要生产设备有：冷热双混高搅拌混料机、PP型材生产线、PP/PE厚板材生产线、PP/PE棒材生产线                  （列举2~4种）</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 xml:space="preserve">特种设备：叉车 ¨行车 锅炉 电梯  ¨压力容器  ¨压力管道  ¨不适用  </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 xml:space="preserve">特种设备管理：进行了定期检验  ¨未进行定期检验的有：             </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sym w:font="Wingdings 2" w:char="0052"/>
            </w:r>
            <w:r>
              <w:rPr>
                <w:rFonts w:hint="eastAsia" w:ascii="Times New Roman" w:hAnsi="Times New Roman" w:eastAsia="宋体" w:cs="Times New Roman"/>
              </w:rPr>
              <w:t>组织</w:t>
            </w:r>
            <w:r>
              <w:rPr>
                <w:rFonts w:ascii="Times New Roman" w:hAnsi="Times New Roman" w:eastAsia="宋体" w:cs="Times New Roman"/>
              </w:rPr>
              <w:t>现有</w:t>
            </w:r>
            <w:r>
              <w:rPr>
                <w:rFonts w:hint="eastAsia" w:ascii="Times New Roman" w:hAnsi="Times New Roman" w:eastAsia="宋体" w:cs="Times New Roman"/>
              </w:rPr>
              <w:t>基础设施可满足质量管理体系运行；</w:t>
            </w:r>
          </w:p>
          <w:p>
            <w:pPr>
              <w:shd w:val="clear" w:color="auto" w:fill="EBF1DE" w:themeFill="accent3" w:themeFillTint="32"/>
              <w:rPr>
                <w:rFonts w:ascii="Times New Roman" w:hAnsi="Times New Roman" w:eastAsia="宋体" w:cs="Times New Roman"/>
              </w:rPr>
            </w:pPr>
            <w:r>
              <w:rPr>
                <w:rFonts w:hint="eastAsia" w:ascii="Times New Roman" w:hAnsi="Times New Roman" w:eastAsia="宋体" w:cs="Times New Roman"/>
              </w:rPr>
              <w:t>□组织</w:t>
            </w:r>
            <w:r>
              <w:rPr>
                <w:rFonts w:ascii="Times New Roman" w:hAnsi="Times New Roman" w:eastAsia="宋体" w:cs="Times New Roman"/>
              </w:rPr>
              <w:t>现有</w:t>
            </w:r>
            <w:r>
              <w:rPr>
                <w:rFonts w:hint="eastAsia" w:ascii="Times New Roman" w:hAnsi="Times New Roman" w:eastAsia="宋体" w:cs="Times New Roman"/>
              </w:rPr>
              <w:t xml:space="preserve">基础设施可基本满足质量管理体系运行，但是还有不足需要补充：           </w:t>
            </w:r>
          </w:p>
          <w:p>
            <w:pPr>
              <w:shd w:val="clear" w:color="auto" w:fill="EBF1DE" w:themeFill="accent3" w:themeFillTint="32"/>
              <w:rPr>
                <w:rFonts w:hint="default"/>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计量器具的</w:t>
            </w:r>
            <w:r>
              <w:rPr>
                <w:rFonts w:hint="default"/>
              </w:rPr>
              <w:t>测量溯源</w:t>
            </w:r>
            <w:r>
              <w:rPr>
                <w:rFonts w:hint="eastAsia"/>
              </w:rPr>
              <w:t xml:space="preserve">方法：  </w:t>
            </w:r>
            <w:r>
              <w:rPr>
                <w:rFonts w:hint="eastAsia" w:ascii="Wingdings" w:hAnsi="Wingdings"/>
              </w:rPr>
              <w:t>¨</w:t>
            </w:r>
            <w:r>
              <w:rPr>
                <w:rFonts w:hint="eastAsia"/>
              </w:rPr>
              <w:t xml:space="preserve">自校   </w:t>
            </w:r>
            <w:r>
              <w:rPr>
                <w:rFonts w:hint="eastAsia" w:ascii="Times New Roman" w:hAnsi="Times New Roman" w:eastAsia="宋体" w:cs="Times New Roman"/>
              </w:rPr>
              <w:t>■</w:t>
            </w:r>
            <w:r>
              <w:rPr>
                <w:rFonts w:hint="eastAsia"/>
              </w:rPr>
              <w:t xml:space="preserve">外校 </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计量器具管理：</w:t>
            </w:r>
            <w:r>
              <w:rPr>
                <w:rFonts w:hint="eastAsia" w:ascii="Times New Roman" w:hAnsi="Times New Roman" w:eastAsia="宋体" w:cs="Times New Roman"/>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组织已确定在其控制的工作人员所需具备的能力，并采取措施以获得所需的能力，并评价措施的有效性；</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通过 ■招聘 </w:t>
            </w:r>
            <w:r>
              <w:rPr>
                <w:rFonts w:hint="eastAsia" w:ascii="Wingdings" w:hAnsi="Wingdings"/>
              </w:rPr>
              <w:t>¨</w:t>
            </w:r>
            <w:r>
              <w:rPr>
                <w:rFonts w:hint="eastAsia"/>
              </w:rPr>
              <w:t xml:space="preserve">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对国家规定持证上岗的人员资质进行了有效的管理。</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特种作业人员：电工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特种设备作业人员：叉车工 </w:t>
            </w:r>
            <w:r>
              <w:rPr>
                <w:rFonts w:hint="eastAsia" w:ascii="Wingdings" w:hAnsi="Wingdings"/>
              </w:rPr>
              <w:t>¨</w:t>
            </w:r>
            <w:r>
              <w:rPr>
                <w:rFonts w:hint="eastAsia"/>
              </w:rPr>
              <w:t xml:space="preserve">行车工  </w:t>
            </w:r>
            <w:r>
              <w:rPr>
                <w:rFonts w:hint="eastAsia" w:ascii="Wingdings" w:hAnsi="Wingdings"/>
              </w:rPr>
              <w:t>¨</w:t>
            </w:r>
            <w:r>
              <w:rPr>
                <w:rFonts w:hint="eastAsia"/>
              </w:rPr>
              <w:t xml:space="preserve">锅炉工  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通过</w:t>
            </w:r>
            <w:r>
              <w:rPr>
                <w:rFonts w:hint="eastAsia" w:ascii="Times New Roman" w:hAnsi="Times New Roman" w:eastAsia="宋体" w:cs="Times New Roman"/>
              </w:rPr>
              <w:t>■</w:t>
            </w:r>
            <w:r>
              <w:rPr>
                <w:rFonts w:hint="eastAsia"/>
              </w:rPr>
              <w:t xml:space="preserve">会议传达 </w:t>
            </w:r>
            <w:r>
              <w:rPr>
                <w:rFonts w:hint="eastAsia" w:ascii="Times New Roman" w:hAnsi="Times New Roman" w:eastAsia="宋体" w:cs="Times New Roman"/>
              </w:rPr>
              <w:t>■</w:t>
            </w:r>
            <w:r>
              <w:rPr>
                <w:rFonts w:hint="eastAsia"/>
              </w:rPr>
              <w:t xml:space="preserve">标语  </w:t>
            </w:r>
            <w:r>
              <w:rPr>
                <w:rFonts w:hint="eastAsia" w:ascii="Times New Roman" w:hAnsi="Times New Roman" w:eastAsia="宋体" w:cs="Times New Roman"/>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组织已确定与环境管理体系相关的内部和外部沟通。</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内部沟通方式：■文件发放 ■会议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外部沟通方式：■宣传材料 ■网站  </w:t>
            </w:r>
            <w:r>
              <w:rPr>
                <w:rFonts w:hint="eastAsia" w:ascii="Times New Roman" w:hAnsi="Times New Roman" w:eastAsia="宋体" w:cs="Times New Roman"/>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组织已建立了文件化的环境管理体系。对自编文件的编制、审批、发放、变更和作废进行了控制。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对环境相关的外来文件（法律法规、产品标准）进行了识别和贯彻。</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运行</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hd w:val="clear" w:color="auto" w:fill="EBF1DE" w:themeFill="accent3" w:themeFillTint="32"/>
              <w:spacing w:before="0" w:beforeAutospacing="0" w:after="0" w:afterAutospacing="0"/>
              <w:ind w:left="0" w:right="0"/>
              <w:rPr>
                <w:rFonts w:hint="default"/>
                <w:highlight w:val="yellow"/>
              </w:rPr>
            </w:pPr>
            <w:r>
              <w:rPr>
                <w:rFonts w:hint="eastAsia"/>
              </w:rPr>
              <w:t xml:space="preserve"> ■工艺流程图 ■作业文件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组织建立并实施了与顾客沟通；如产品和服务的环境信息、顾客财产、应急措施等。</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组织对产品和服务的环境要求进行了评审，确保有能力向顾客提供满足要求的产品和服务。</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组织建立、实施和保持了适当的设计和开发过程，以确保后续的产品和服务的提供中满足环境相关的法律法规。（适用时）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审核期间内，设计和开发新产品/项目名称：</w:t>
            </w:r>
            <w:r>
              <w:rPr>
                <w:rFonts w:hint="eastAsia"/>
                <w:u w:val="single"/>
              </w:rPr>
              <w:t xml:space="preserve">                           （</w:t>
            </w:r>
            <w:r>
              <w:rPr>
                <w:rFonts w:hint="eastAsia"/>
              </w:rPr>
              <w:t>举1例）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对该设计和开发的项目对环境因素进行了识别和评价，并制订了控制措施。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设计和开发的环境因素控制：</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组织对外部提供的过程、产品（危化品）和服务的供方按照对环境因素的影响程度实施控制。</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外部提供包括：■原材料采购 </w:t>
            </w:r>
            <w:r>
              <w:rPr>
                <w:rFonts w:hint="eastAsia" w:ascii="Wingdings" w:hAnsi="Wingdings"/>
              </w:rPr>
              <w:t>¨</w:t>
            </w:r>
            <w:r>
              <w:rPr>
                <w:rFonts w:hint="eastAsia"/>
              </w:rPr>
              <w:t xml:space="preserve">委托加工  </w:t>
            </w:r>
            <w:r>
              <w:rPr>
                <w:rFonts w:hint="eastAsia" w:ascii="Wingdings" w:hAnsi="Wingdings"/>
              </w:rPr>
              <w:t>¨</w:t>
            </w:r>
            <w:r>
              <w:rPr>
                <w:rFonts w:hint="eastAsia"/>
              </w:rPr>
              <w:t xml:space="preserve">施工 ■设备维保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控制方式：■合同约定 </w:t>
            </w:r>
            <w:r>
              <w:rPr>
                <w:rFonts w:hint="eastAsia" w:ascii="Wingdings" w:hAnsi="Wingdings"/>
              </w:rPr>
              <w:t>¨</w:t>
            </w:r>
            <w:r>
              <w:rPr>
                <w:rFonts w:hint="eastAsia"/>
              </w:rPr>
              <w:t xml:space="preserve">危害告知  ■现场检查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对外部供方的控制：■符合要求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重要环境因素</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控制措施</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废气排放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 xml:space="preserve">  采用环保设备处理</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噪声排放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firstLine="210" w:firstLineChars="100"/>
                    <w:jc w:val="left"/>
                    <w:rPr>
                      <w:rFonts w:hint="default" w:eastAsia="宋体"/>
                      <w:lang w:val="en-US" w:eastAsia="zh-CN"/>
                    </w:rPr>
                  </w:pPr>
                  <w:r>
                    <w:rPr>
                      <w:rFonts w:hint="eastAsia"/>
                      <w:lang w:val="en-US" w:eastAsia="zh-CN"/>
                    </w:rPr>
                    <w:t>采用环保降噪设备</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固废排放</w:t>
                  </w: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 xml:space="preserve"> 加强分类管理</w:t>
                  </w: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rPr>
                  </w:pPr>
                  <w:r>
                    <w:rPr>
                      <w:rFonts w:hint="eastAsia"/>
                    </w:rPr>
                    <w:t>火灾</w:t>
                  </w:r>
                </w:p>
              </w:tc>
              <w:tc>
                <w:tcPr>
                  <w:tcW w:w="36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运行检查，查出消防隐患及时整改</w:t>
                  </w:r>
                </w:p>
              </w:tc>
              <w:tc>
                <w:tcPr>
                  <w:tcW w:w="3265" w:type="dxa"/>
                  <w:vAlign w:val="top"/>
                </w:tcPr>
                <w:p>
                  <w:pPr>
                    <w:keepNext w:val="0"/>
                    <w:keepLines w:val="0"/>
                    <w:suppressLineNumbers w:val="0"/>
                    <w:shd w:val="clear" w:color="auto" w:fill="EBF1DE" w:themeFill="accent3" w:themeFillTint="32"/>
                    <w:spacing w:before="0" w:beforeAutospacing="0" w:after="0" w:afterAutospacing="0"/>
                    <w:ind w:left="0" w:leftChars="0" w:right="0" w:rightChars="0"/>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6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c>
                <w:tcPr>
                  <w:tcW w:w="3265" w:type="dxa"/>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tc>
            </w:tr>
          </w:tbl>
          <w:p>
            <w:pPr>
              <w:keepNext w:val="0"/>
              <w:keepLines w:val="0"/>
              <w:suppressLineNumbers w:val="0"/>
              <w:shd w:val="clear" w:color="auto" w:fill="EBF1DE" w:themeFill="accent3" w:themeFillTint="32"/>
              <w:spacing w:before="0" w:beforeAutospacing="0" w:after="0" w:afterAutospacing="0"/>
              <w:ind w:left="0" w:right="0"/>
              <w:jc w:val="left"/>
              <w:rPr>
                <w:rFonts w:hint="default"/>
              </w:rPr>
            </w:pP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对生产和服务提供过程的环境因素控制■符合要求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组织对生产设备、环保设备、特种设备制订了计划进行了定期的检查、保养和维修；运行完好</w:t>
            </w:r>
          </w:p>
          <w:p>
            <w:pPr>
              <w:keepNext w:val="0"/>
              <w:keepLines w:val="0"/>
              <w:suppressLineNumbers w:val="0"/>
              <w:shd w:val="clear" w:color="auto" w:fill="EBF1DE" w:themeFill="accent3" w:themeFillTint="32"/>
              <w:spacing w:before="0" w:beforeAutospacing="0" w:after="0" w:afterAutospacing="0"/>
              <w:ind w:left="0" w:right="0"/>
              <w:rPr>
                <w:rFonts w:hint="default"/>
                <w:u w:val="single"/>
              </w:rPr>
            </w:pPr>
            <w:r>
              <w:rPr>
                <w:rFonts w:hint="eastAsia"/>
              </w:rPr>
              <w:t xml:space="preserve">特种设备管理：进行了定期检验  </w:t>
            </w:r>
            <w:r>
              <w:rPr>
                <w:rFonts w:hint="eastAsia" w:ascii="Wingdings" w:hAnsi="Wingdings"/>
              </w:rPr>
              <w:t>¨</w:t>
            </w:r>
            <w:r>
              <w:rPr>
                <w:rFonts w:hint="eastAsia"/>
              </w:rPr>
              <w:t xml:space="preserve">未进行定期检验的有： </w:t>
            </w:r>
            <w:r>
              <w:rPr>
                <w:rFonts w:hint="eastAsia"/>
                <w:u w:val="single"/>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组织在生产和服务提供的整个过程中对危化品特性的进行了标识。</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采用的标识方式：</w:t>
            </w:r>
            <w:r>
              <w:rPr>
                <w:rFonts w:hint="eastAsia" w:ascii="Wingdings" w:hAnsi="Wingdings"/>
              </w:rPr>
              <w:t>¨</w:t>
            </w:r>
            <w:r>
              <w:rPr>
                <w:rFonts w:hint="eastAsia"/>
              </w:rPr>
              <w:t xml:space="preserve">MSDS ■危害告知标牌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组织应在生产和服务提供期间对危化品的采购、运输、使用、储存的环境因素进行控制，以确保符合MSDS和法规要求。 </w:t>
            </w:r>
          </w:p>
          <w:p>
            <w:pPr>
              <w:keepNext w:val="0"/>
              <w:keepLines w:val="0"/>
              <w:suppressLineNumbers w:val="0"/>
              <w:shd w:val="clear" w:color="auto" w:fill="EBF1DE" w:themeFill="accent3" w:themeFillTint="32"/>
              <w:spacing w:before="0" w:beforeAutospacing="0" w:after="0" w:afterAutospacing="0"/>
              <w:ind w:left="0" w:right="0"/>
              <w:jc w:val="left"/>
              <w:rPr>
                <w:rFonts w:hint="default"/>
              </w:rPr>
            </w:pPr>
            <w:r>
              <w:rPr>
                <w:rFonts w:hint="eastAsia"/>
              </w:rPr>
              <w:t xml:space="preserve">危化品：■符合要求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组织对产品和服务交付后活动的要求。 ■废物回收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制订的应急预案包括：</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■火灾控制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锅炉爆炸 </w:t>
            </w:r>
            <w:r>
              <w:rPr>
                <w:rFonts w:hint="eastAsia" w:ascii="Wingdings" w:hAnsi="Wingdings"/>
              </w:rPr>
              <w:t>¨</w:t>
            </w:r>
            <w:r>
              <w:rPr>
                <w:rFonts w:hint="eastAsia"/>
              </w:rPr>
              <w:t xml:space="preserve">环保设备故障 </w:t>
            </w:r>
            <w:r>
              <w:rPr>
                <w:rFonts w:hint="eastAsia" w:ascii="Wingdings" w:hAnsi="Wingdings"/>
              </w:rPr>
              <w:t>¨</w:t>
            </w:r>
            <w:r>
              <w:rPr>
                <w:rFonts w:hint="eastAsia"/>
              </w:rPr>
              <w:t xml:space="preserve">停水停电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审核周期内发生过紧急情况：■未发生 </w:t>
            </w:r>
            <w:r>
              <w:rPr>
                <w:rFonts w:hint="eastAsia" w:ascii="Wingdings" w:hAnsi="Wingdings"/>
              </w:rPr>
              <w:t>¨</w:t>
            </w:r>
            <w:r>
              <w:rPr>
                <w:rFonts w:hint="eastAsia"/>
              </w:rPr>
              <w:t>已发生：</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ascii="宋体" w:hAnsi="宋体" w:cs="宋体"/>
                <w:color w:val="000000" w:themeColor="text1"/>
                <w:szCs w:val="21"/>
              </w:rPr>
              <w:t>消防演练</w:t>
            </w:r>
            <w:r>
              <w:rPr>
                <w:rFonts w:hint="eastAsia"/>
              </w:rPr>
              <w:t xml:space="preserve">；并总结了预案的可行性和有效性。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定期评审并修订过程和策划的响应措施，特别是发生紧急情况后或进行试验后；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向环境有关的相关方，包括在组织控制下工作的人员提供应急准备和响应相关的信息和培训。</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应急准备和响应控制：■符合要求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绩效评价</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组织已分析和评价通过监视和测量获得的适当的数据和信息。</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组织已建立、实施并保持评价其合规义务履行情况所需的过程。</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实施合规性评价的时间：</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■定期（每年） ：</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组织在适当阶段实施策划的安排，以验证环境法律法规的要求已得到满足。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实施的检测：企业自检 ■第三方监测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w:t>
            </w:r>
            <w:r>
              <w:rPr>
                <w:rFonts w:hint="eastAsia"/>
                <w:lang w:val="en-US" w:eastAsia="zh-CN"/>
              </w:rPr>
              <w:t>检测</w:t>
            </w:r>
            <w:r>
              <w:rPr>
                <w:rFonts w:hint="eastAsia"/>
              </w:rPr>
              <w:t>报告》编号：</w:t>
            </w:r>
            <w:r>
              <w:rPr>
                <w:rFonts w:hint="eastAsia"/>
                <w:color w:val="000000"/>
                <w:szCs w:val="18"/>
                <w:u w:val="single"/>
              </w:rPr>
              <w:t xml:space="preserve"> </w:t>
            </w:r>
            <w:r>
              <w:rPr>
                <w:rFonts w:hint="eastAsia"/>
                <w:color w:val="000000"/>
                <w:szCs w:val="18"/>
                <w:u w:val="single"/>
                <w:lang w:val="en-US" w:eastAsia="zh-CN"/>
              </w:rPr>
              <w:t>保民环检字（2022</w:t>
            </w:r>
            <w:r>
              <w:rPr>
                <w:rFonts w:hint="eastAsia"/>
                <w:color w:val="000000"/>
                <w:szCs w:val="18"/>
                <w:u w:val="single"/>
              </w:rPr>
              <w:t xml:space="preserve"> </w:t>
            </w:r>
            <w:r>
              <w:rPr>
                <w:rFonts w:hint="eastAsia"/>
                <w:color w:val="000000"/>
                <w:szCs w:val="18"/>
                <w:u w:val="single"/>
                <w:lang w:eastAsia="zh-CN"/>
              </w:rPr>
              <w:t>）</w:t>
            </w:r>
            <w:r>
              <w:rPr>
                <w:rFonts w:hint="eastAsia"/>
                <w:color w:val="000000"/>
                <w:szCs w:val="18"/>
                <w:u w:val="single"/>
                <w:lang w:val="en-US" w:eastAsia="zh-CN"/>
              </w:rPr>
              <w:t>第Z054-1号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《建筑消防检测报告》编号：</w:t>
            </w:r>
            <w:r>
              <w:rPr>
                <w:rFonts w:hint="eastAsia"/>
                <w:u w:val="single"/>
              </w:rPr>
              <w:t xml:space="preserve">                                </w:t>
            </w:r>
            <w:r>
              <w:rPr>
                <w:rFonts w:hint="eastAsia"/>
              </w:rPr>
              <w:t>。</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达标评价：■符合要求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若是组织多场所/临时场所：（按照组织的实际情况选择）</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内审贯穿了多场所/临时现场，内审的验证结论是正面的。管理者代表相应的职权覆盖了所有的场所。）</w:t>
            </w:r>
          </w:p>
          <w:p>
            <w:pPr>
              <w:keepNext w:val="0"/>
              <w:keepLines w:val="0"/>
              <w:suppressLineNumbers w:val="0"/>
              <w:shd w:val="clear" w:color="auto" w:fill="EBF1DE" w:themeFill="accent3" w:themeFillTint="32"/>
              <w:spacing w:before="0" w:beforeAutospacing="0" w:after="0" w:afterAutospacing="0"/>
              <w:ind w:left="0" w:right="0"/>
              <w:rPr>
                <w:rFonts w:hint="default"/>
              </w:rPr>
            </w:pP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若是多班次操作：（按照组织的实际情况选择）</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对所有班次的现场操作已审核。</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restart"/>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改进</w:t>
            </w: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组织针对环境管理体系运行中的不符合采取了有效纠正和纠正措施。针对下列方面采取了纠正措施：</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ascii="Wingdings" w:hAnsi="Wingdings"/>
              </w:rPr>
              <w:t>¨</w:t>
            </w:r>
            <w:r>
              <w:rPr>
                <w:rFonts w:hint="eastAsia"/>
              </w:rPr>
              <w:t xml:space="preserve">检测结果不合格 ■自我检查的结果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vMerge w:val="continue"/>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p>
        </w:tc>
        <w:tc>
          <w:tcPr>
            <w:tcW w:w="9057" w:type="dxa"/>
            <w:shd w:val="clear" w:color="auto" w:fill="EBF1DE" w:themeFill="accent3" w:themeFillTint="32"/>
          </w:tcPr>
          <w:p>
            <w:pPr>
              <w:keepNext w:val="0"/>
              <w:keepLines w:val="0"/>
              <w:suppressLineNumbers w:val="0"/>
              <w:shd w:val="clear" w:color="auto" w:fill="EBF1DE" w:themeFill="accent3" w:themeFillTint="32"/>
              <w:spacing w:before="0" w:beforeAutospacing="0" w:after="0" w:afterAutospacing="0"/>
              <w:ind w:left="0" w:right="0"/>
              <w:rPr>
                <w:rFonts w:hint="default"/>
              </w:rPr>
            </w:pPr>
            <w:r>
              <w:rPr>
                <w:rFonts w:hint="eastAsia"/>
              </w:rPr>
              <w:t>组织持续改进了环境管理体系的适宜性、充分性与有效性，以提升环境绩效。</w:t>
            </w:r>
          </w:p>
        </w:tc>
      </w:tr>
    </w:tbl>
    <w:tbl>
      <w:tblPr>
        <w:tblStyle w:val="8"/>
        <w:tblW w:w="103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2469"/>
        <w:gridCol w:w="798"/>
        <w:gridCol w:w="799"/>
        <w:gridCol w:w="798"/>
        <w:gridCol w:w="799"/>
        <w:gridCol w:w="799"/>
        <w:gridCol w:w="798"/>
        <w:gridCol w:w="799"/>
        <w:gridCol w:w="798"/>
        <w:gridCol w:w="800"/>
        <w:gridCol w:w="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3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7"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8"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87"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8"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8"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87"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8"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87"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9"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648"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3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8"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87"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4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3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7"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tcPr>
          <w:p>
            <w:pPr>
              <w:shd w:val="clear" w:color="auto" w:fill="EBF1DE" w:themeFill="accent3" w:themeFillTint="32"/>
              <w:rPr>
                <w:lang w:eastAsia="ja-JP"/>
              </w:rPr>
            </w:pPr>
          </w:p>
        </w:tc>
        <w:tc>
          <w:tcPr>
            <w:tcW w:w="787"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vAlign w:val="center"/>
          </w:tcPr>
          <w:p>
            <w:pPr>
              <w:shd w:val="clear" w:color="auto" w:fill="EBF1DE" w:themeFill="accent3" w:themeFillTint="32"/>
              <w:rPr>
                <w:lang w:eastAsia="ja-JP"/>
              </w:rPr>
            </w:pPr>
          </w:p>
        </w:tc>
        <w:tc>
          <w:tcPr>
            <w:tcW w:w="787"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vAlign w:val="center"/>
          </w:tcPr>
          <w:p>
            <w:pPr>
              <w:shd w:val="clear" w:color="auto" w:fill="EBF1DE" w:themeFill="accent3" w:themeFillTint="32"/>
              <w:rPr>
                <w:lang w:eastAsia="ja-JP"/>
              </w:rPr>
            </w:pPr>
          </w:p>
        </w:tc>
        <w:tc>
          <w:tcPr>
            <w:tcW w:w="787" w:type="dxa"/>
            <w:shd w:val="clear" w:color="auto" w:fill="EBF1DE" w:themeFill="accent3" w:themeFillTint="32"/>
            <w:vAlign w:val="center"/>
          </w:tcPr>
          <w:p>
            <w:pPr>
              <w:shd w:val="clear" w:color="auto" w:fill="EBF1DE" w:themeFill="accent3" w:themeFillTint="32"/>
              <w:rPr>
                <w:lang w:eastAsia="ja-JP"/>
              </w:rPr>
            </w:pPr>
          </w:p>
        </w:tc>
        <w:tc>
          <w:tcPr>
            <w:tcW w:w="789" w:type="dxa"/>
            <w:shd w:val="clear" w:color="auto" w:fill="EBF1DE" w:themeFill="accent3" w:themeFillTint="32"/>
            <w:vAlign w:val="center"/>
          </w:tcPr>
          <w:p>
            <w:pPr>
              <w:shd w:val="clear" w:color="auto" w:fill="EBF1DE" w:themeFill="accent3" w:themeFillTint="32"/>
              <w:rPr>
                <w:lang w:eastAsia="ja-JP"/>
              </w:rPr>
            </w:pPr>
          </w:p>
        </w:tc>
        <w:tc>
          <w:tcPr>
            <w:tcW w:w="648"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3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87"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8"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87"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8"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8"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7"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8"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87"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9"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648"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3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8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8"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8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8"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8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648"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3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87"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tcPr>
          <w:p>
            <w:pPr>
              <w:shd w:val="clear" w:color="auto" w:fill="EBF1DE" w:themeFill="accent3" w:themeFillTint="32"/>
              <w:rPr>
                <w:lang w:eastAsia="ja-JP"/>
              </w:rPr>
            </w:pPr>
          </w:p>
        </w:tc>
        <w:tc>
          <w:tcPr>
            <w:tcW w:w="787"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vAlign w:val="center"/>
          </w:tcPr>
          <w:p>
            <w:pPr>
              <w:shd w:val="clear" w:color="auto" w:fill="EBF1DE" w:themeFill="accent3" w:themeFillTint="32"/>
              <w:rPr>
                <w:lang w:eastAsia="ja-JP"/>
              </w:rPr>
            </w:pPr>
          </w:p>
        </w:tc>
        <w:tc>
          <w:tcPr>
            <w:tcW w:w="787" w:type="dxa"/>
            <w:shd w:val="clear" w:color="auto" w:fill="EBF1DE" w:themeFill="accent3" w:themeFillTint="32"/>
            <w:vAlign w:val="center"/>
          </w:tcPr>
          <w:p>
            <w:pPr>
              <w:shd w:val="clear" w:color="auto" w:fill="EBF1DE" w:themeFill="accent3" w:themeFillTint="32"/>
              <w:rPr>
                <w:lang w:eastAsia="ja-JP"/>
              </w:rPr>
            </w:pPr>
          </w:p>
        </w:tc>
        <w:tc>
          <w:tcPr>
            <w:tcW w:w="788" w:type="dxa"/>
            <w:shd w:val="clear" w:color="auto" w:fill="EBF1DE" w:themeFill="accent3" w:themeFillTint="32"/>
            <w:vAlign w:val="center"/>
          </w:tcPr>
          <w:p>
            <w:pPr>
              <w:shd w:val="clear" w:color="auto" w:fill="EBF1DE" w:themeFill="accent3" w:themeFillTint="32"/>
              <w:rPr>
                <w:lang w:eastAsia="ja-JP"/>
              </w:rPr>
            </w:pPr>
          </w:p>
        </w:tc>
        <w:tc>
          <w:tcPr>
            <w:tcW w:w="787" w:type="dxa"/>
            <w:shd w:val="clear" w:color="auto" w:fill="EBF1DE" w:themeFill="accent3" w:themeFillTint="32"/>
            <w:vAlign w:val="center"/>
          </w:tcPr>
          <w:p>
            <w:pPr>
              <w:shd w:val="clear" w:color="auto" w:fill="EBF1DE" w:themeFill="accent3" w:themeFillTint="32"/>
              <w:rPr>
                <w:lang w:eastAsia="ja-JP"/>
              </w:rPr>
            </w:pPr>
          </w:p>
        </w:tc>
        <w:tc>
          <w:tcPr>
            <w:tcW w:w="789" w:type="dxa"/>
            <w:shd w:val="clear" w:color="auto" w:fill="EBF1DE" w:themeFill="accent3" w:themeFillTint="32"/>
            <w:vAlign w:val="center"/>
          </w:tcPr>
          <w:p>
            <w:pPr>
              <w:shd w:val="clear" w:color="auto" w:fill="EBF1DE" w:themeFill="accent3" w:themeFillTint="32"/>
              <w:rPr>
                <w:lang w:eastAsia="ja-JP"/>
              </w:rPr>
            </w:pPr>
          </w:p>
        </w:tc>
        <w:tc>
          <w:tcPr>
            <w:tcW w:w="648"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I4NjI5OTBmMDM1ODFlMDkzNDFlZTFiMWNhZWU5ZTMifQ=="/>
  </w:docVars>
  <w:rsids>
    <w:rsidRoot w:val="00000000"/>
    <w:rsid w:val="02C32C05"/>
    <w:rsid w:val="19A30E80"/>
    <w:rsid w:val="237560EE"/>
    <w:rsid w:val="3B975448"/>
    <w:rsid w:val="4ED17C62"/>
    <w:rsid w:val="4ED65279"/>
    <w:rsid w:val="54D618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企业咨询17334292415</cp:lastModifiedBy>
  <cp:lastPrinted>2019-05-13T03:19:00Z</cp:lastPrinted>
  <dcterms:modified xsi:type="dcterms:W3CDTF">2022-10-14T10:42:11Z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