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183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四川奥群木业有限公司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四川合江临港工业园区联榕坝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四川合江临港工业园区联榕坝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蒋昌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19923279327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邮箱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default"/>
                <w:lang w:val="en-US"/>
              </w:rPr>
            </w:pPr>
            <w:bookmarkStart w:id="4" w:name="最高管理者"/>
            <w:bookmarkEnd w:id="4"/>
            <w:r>
              <w:rPr>
                <w:rFonts w:hint="eastAsia" w:asciiTheme="minorEastAsia" w:hAnsiTheme="minorEastAsia" w:eastAsiaTheme="minorEastAsia"/>
                <w:sz w:val="20"/>
                <w:lang w:eastAsia="zh-CN"/>
              </w:rPr>
              <w:t>尹</w:t>
            </w: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涛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5" w:name="管代电话"/>
            <w:bookmarkEnd w:id="5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0427-2020-QE-2022</w:t>
            </w:r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7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7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8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EMS</w:t>
            </w:r>
            <w:bookmarkStart w:id="9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0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1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2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4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5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7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Q：木质家具及套装门的生产。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E：木质家具及套装门的生产所涉及的相关环境管理活动。</w:t>
            </w:r>
            <w:bookmarkEnd w:id="22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Q：06.02.03;23.01.01;23.01.02;23.01.04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E：06.02.03;23.01.01;23.01.02;23.01.04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2022年09月26日 下午至2022年09月27日 下午</w:t>
            </w:r>
            <w:bookmarkEnd w:id="31"/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1.5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3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66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13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266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13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266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贺贻燕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ISC-JSZJ-158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ISC-JSZJ-158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四川伊仕木业有限公司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Q:06.02.03,23.01.01,23.01.02,23.01.04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E:06.02.03,23.01.01,23.01.02,23.01.04</w:t>
            </w:r>
          </w:p>
        </w:tc>
        <w:tc>
          <w:tcPr>
            <w:tcW w:w="1413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15823738477</w:t>
            </w:r>
          </w:p>
        </w:tc>
        <w:tc>
          <w:tcPr>
            <w:tcW w:w="1266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3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6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技术专家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贺贻燕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四川伊仕木业有限公司</w:t>
            </w:r>
          </w:p>
        </w:tc>
        <w:tc>
          <w:tcPr>
            <w:tcW w:w="1004" w:type="dxa"/>
            <w:vAlign w:val="center"/>
          </w:tcPr>
          <w:p>
            <w:pPr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Q:06.02.03,23.01.01,23.01.02,23.01.04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E:06.02.03,23.01.01,23.01.02,23.01.04</w:t>
            </w:r>
          </w:p>
        </w:tc>
        <w:tc>
          <w:tcPr>
            <w:tcW w:w="1413" w:type="dxa"/>
            <w:gridSpan w:val="4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</w:t>
            </w:r>
          </w:p>
        </w:tc>
        <w:tc>
          <w:tcPr>
            <w:tcW w:w="126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15823738477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413" w:type="dxa"/>
            <w:gridSpan w:val="4"/>
            <w:vAlign w:val="center"/>
          </w:tcPr>
          <w:p/>
        </w:tc>
        <w:tc>
          <w:tcPr>
            <w:tcW w:w="1266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185420</wp:posOffset>
                  </wp:positionH>
                  <wp:positionV relativeFrom="paragraph">
                    <wp:posOffset>38100</wp:posOffset>
                  </wp:positionV>
                  <wp:extent cx="812800" cy="400050"/>
                  <wp:effectExtent l="0" t="0" r="6350" b="0"/>
                  <wp:wrapNone/>
                  <wp:docPr id="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3" w:name="审核派遣人"/>
            <w:r>
              <w:rPr>
                <w:sz w:val="21"/>
                <w:szCs w:val="21"/>
              </w:rPr>
              <w:t>李永忠</w:t>
            </w:r>
            <w:bookmarkEnd w:id="33"/>
          </w:p>
        </w:tc>
        <w:tc>
          <w:tcPr>
            <w:tcW w:w="2175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66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13883847833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75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bookmarkStart w:id="34" w:name="审批日期"/>
            <w:r>
              <w:rPr>
                <w:rFonts w:ascii="宋体" w:hAnsi="宋体" w:cs="宋体"/>
                <w:color w:val="000000"/>
                <w:kern w:val="0"/>
                <w:szCs w:val="21"/>
              </w:rPr>
              <w:t>2022-09-22</w:t>
            </w:r>
            <w:bookmarkEnd w:id="34"/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2022-09-22</w:t>
            </w:r>
          </w:p>
        </w:tc>
        <w:tc>
          <w:tcPr>
            <w:tcW w:w="2175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66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1565"/>
        <w:gridCol w:w="869"/>
        <w:gridCol w:w="6338"/>
        <w:gridCol w:w="1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47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3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3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47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26日</w:t>
            </w:r>
          </w:p>
        </w:tc>
        <w:tc>
          <w:tcPr>
            <w:tcW w:w="15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7207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113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0" w:hRule="atLeast"/>
          <w:jc w:val="center"/>
        </w:trPr>
        <w:tc>
          <w:tcPr>
            <w:tcW w:w="47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5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both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6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6338" w:type="dxa"/>
          </w:tcPr>
          <w:p>
            <w:pPr>
              <w:snapToGrid w:val="0"/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总则；7.4沟通；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7.5.1文件化信息总则；</w:t>
            </w:r>
            <w:r>
              <w:rPr>
                <w:rFonts w:hint="eastAsia"/>
                <w:sz w:val="21"/>
                <w:szCs w:val="21"/>
              </w:rPr>
              <w:t>9.1.1监测、分析和评价总则；9.1.3分析与评价9.3管理评审；10.1改进 总则；10.3持续改进</w:t>
            </w:r>
          </w:p>
          <w:p>
            <w:pPr>
              <w:snapToGrid w:val="0"/>
              <w:spacing w:line="240" w:lineRule="exact"/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EMS： 4.1组织及其环境;4.2相关方需求与期望;4.3确定体系范围;4.4体系;5.1领导作用与承诺;5.2方针;5.3组织的角色、职责和权限；6.1.1策划总则；6.1.4措施的策划；6.2目标及其实现的策划；7.1资源；7.4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信息交流</w:t>
            </w:r>
            <w:r>
              <w:rPr>
                <w:rFonts w:hint="eastAsia"/>
                <w:sz w:val="21"/>
                <w:szCs w:val="21"/>
              </w:rPr>
              <w:t>；7.5.1文件化信息总则；9.1.1监测、分析和评估总则；9.3管理评审；10.1改进 总则；10.3持续改进。</w:t>
            </w:r>
          </w:p>
          <w:p>
            <w:pPr>
              <w:snapToGrid w:val="0"/>
              <w:spacing w:line="240" w:lineRule="exact"/>
              <w:rPr>
                <w:sz w:val="21"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范围的确认，资质的确认，法律法规执行情况，重大质量事故，及顾客投诉和质量监督抽查情况，环境安全投诉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认证证书及标识使用情况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上次不符合</w:t>
            </w:r>
            <w:r>
              <w:rPr>
                <w:rFonts w:hint="eastAsia"/>
                <w:sz w:val="21"/>
                <w:szCs w:val="21"/>
              </w:rPr>
              <w:t>验证。</w:t>
            </w:r>
          </w:p>
          <w:p>
            <w:pPr>
              <w:pStyle w:val="2"/>
            </w:pPr>
          </w:p>
        </w:tc>
        <w:tc>
          <w:tcPr>
            <w:tcW w:w="113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8" w:hRule="atLeast"/>
          <w:jc w:val="center"/>
        </w:trPr>
        <w:tc>
          <w:tcPr>
            <w:tcW w:w="47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5" w:type="dxa"/>
            <w:vMerge w:val="continue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6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行政部（含财务）</w:t>
            </w:r>
          </w:p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6338" w:type="dxa"/>
          </w:tcPr>
          <w:p>
            <w:pPr>
              <w:snapToGrid w:val="0"/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5.3岗位/职责 /权限；6.2质量目标及其实现的策划；7.1.2人员；7.1.6组织知识；7.2能力；7.3意识；7.4沟通；7.5文件化信息；；9.2内部审核；10.2不符合和纠正措施；</w:t>
            </w:r>
          </w:p>
          <w:p>
            <w:pPr>
              <w:pStyle w:val="2"/>
              <w:rPr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 ：5.3组织的角色、职责和权限;6.1.2环境因素；6.1.3合规义务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6.2目标及其达成的策划；7.1资源；7.2能力；7.3意识；7.4沟通；7.5文件化信息；8.1运行策划和控制；8.2应急准备和响应；9.1监视、测量、分析与评估；9.1.2符合性评估；9.2内部审核；10.2不符合和纠正措施；10.3持续改进/EMS运行控制相关财务支出证据</w:t>
            </w:r>
          </w:p>
          <w:p>
            <w:pPr>
              <w:pStyle w:val="2"/>
            </w:pPr>
          </w:p>
        </w:tc>
        <w:tc>
          <w:tcPr>
            <w:tcW w:w="113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1" w:hRule="atLeast"/>
          <w:jc w:val="center"/>
        </w:trPr>
        <w:tc>
          <w:tcPr>
            <w:tcW w:w="47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27日</w:t>
            </w:r>
          </w:p>
        </w:tc>
        <w:tc>
          <w:tcPr>
            <w:tcW w:w="1565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9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6338" w:type="dxa"/>
            <w:vAlign w:val="top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QMS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21"/>
                <w:szCs w:val="21"/>
              </w:rPr>
              <w:t>5.3岗位/职责 /权限；6.2目标及其实现的策划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7.1.3基础设施；7.1.4过程环境；7.4沟通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EMS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21"/>
                <w:szCs w:val="21"/>
              </w:rPr>
              <w:t>5.3岗位/职责 /权限；6.2目标及其实现的策划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bookmarkStart w:id="35" w:name="_GoBack"/>
            <w:bookmarkEnd w:id="35"/>
            <w:r>
              <w:rPr>
                <w:rFonts w:hint="eastAsia" w:ascii="宋体" w:hAnsi="宋体" w:cs="新宋体"/>
                <w:sz w:val="21"/>
                <w:szCs w:val="21"/>
              </w:rPr>
              <w:t>7.4沟通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</w:p>
          <w:p>
            <w:pPr>
              <w:rPr>
                <w:rFonts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3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47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65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午餐12:00-12:30）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9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6338" w:type="dxa"/>
            <w:vAlign w:val="top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QMS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8.5.1生产和服务提供的控制；8.5.2标识和可追溯性；8.5.3顾客或外部供方的财产；8.5.4防护；8.5.5交付后的活动；8.5.6更改控制；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EMS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21"/>
                <w:szCs w:val="21"/>
              </w:rPr>
              <w:t>6.1.2环境因素；8.1运行策划和控制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上次不符合项验证）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；8.2应急准备和响应；</w:t>
            </w:r>
          </w:p>
        </w:tc>
        <w:tc>
          <w:tcPr>
            <w:tcW w:w="113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atLeast"/>
          <w:jc w:val="center"/>
        </w:trPr>
        <w:tc>
          <w:tcPr>
            <w:tcW w:w="47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午餐12:00-12:30）</w:t>
            </w:r>
          </w:p>
        </w:tc>
        <w:tc>
          <w:tcPr>
            <w:tcW w:w="869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质量部</w:t>
            </w:r>
          </w:p>
        </w:tc>
        <w:tc>
          <w:tcPr>
            <w:tcW w:w="6338" w:type="dxa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QMS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21"/>
                <w:szCs w:val="21"/>
              </w:rPr>
              <w:t>5.3岗位/职责 /权限；6.2目标及其实现的策划；7.1.5监视和测量设备；7.4沟通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8.1运行策划和控制；8.3产品和服务的设计和开发；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8.6产品和服务放行；8.7不合格输出控制；10.2不符合和纠正措施；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QEMS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21"/>
                <w:szCs w:val="21"/>
              </w:rPr>
              <w:t>5.3岗位/职责 /权限；6.2目标及其实现的策划；6.1.2环境因素；7.4沟通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13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0" w:hRule="atLeast"/>
          <w:jc w:val="center"/>
        </w:trPr>
        <w:tc>
          <w:tcPr>
            <w:tcW w:w="47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5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午餐12:00-12:30）</w:t>
            </w:r>
          </w:p>
        </w:tc>
        <w:tc>
          <w:tcPr>
            <w:tcW w:w="869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供销部</w:t>
            </w:r>
          </w:p>
        </w:tc>
        <w:tc>
          <w:tcPr>
            <w:tcW w:w="6338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21"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QMS：5.3岗位/职责 /权限；6.2质量目标及其实现的策划；8.2产品和服务的要求；8.4外部提供供方的控制；9.1.2顾客满意；</w:t>
            </w:r>
          </w:p>
          <w:p>
            <w:pPr>
              <w:snapToGrid w:val="0"/>
              <w:spacing w:line="240" w:lineRule="exact"/>
              <w:rPr>
                <w:rFonts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3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47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5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9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供销部</w:t>
            </w:r>
          </w:p>
        </w:tc>
        <w:tc>
          <w:tcPr>
            <w:tcW w:w="6338" w:type="dxa"/>
            <w:vAlign w:val="top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EMS： 5.3组织的角色、职责和权限、6.2目标及其达成的策划；6.1.2环境因素；7.4沟通；8.1运行策划和控制；8.2应急准备和响应；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3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47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7207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13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ABC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0A1B7C8E"/>
    <w:rsid w:val="17DB34B4"/>
    <w:rsid w:val="2F7A0102"/>
    <w:rsid w:val="46C64F0E"/>
    <w:rsid w:val="56B825DE"/>
    <w:rsid w:val="6AC81A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2216</Words>
  <Characters>3393</Characters>
  <Lines>37</Lines>
  <Paragraphs>10</Paragraphs>
  <TotalTime>20</TotalTime>
  <ScaleCrop>false</ScaleCrop>
  <LinksUpToDate>false</LinksUpToDate>
  <CharactersWithSpaces>3464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2022-09-27T05:16:12Z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2052-11.1.0.12358</vt:lpwstr>
  </property>
</Properties>
</file>