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pPr w:leftFromText="180" w:rightFromText="180" w:vertAnchor="text" w:horzAnchor="page" w:tblpX="1076" w:tblpY="63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100"/>
        <w:gridCol w:w="1120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7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10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120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受审核部门：</w:t>
            </w:r>
            <w:r>
              <w:rPr>
                <w:rFonts w:hint="eastAsia" w:cs="宋体"/>
                <w:lang w:val="en-US" w:eastAsia="zh-CN"/>
              </w:rPr>
              <w:t xml:space="preserve">保安服务部        </w:t>
            </w:r>
            <w:r>
              <w:rPr>
                <w:rFonts w:hint="eastAsia" w:ascii="Times New Roman" w:hAnsi="Times New Roman" w:eastAsia="宋体" w:cs="宋体"/>
                <w:lang w:val="en-US" w:eastAsia="zh-CN"/>
              </w:rPr>
              <w:t>主管领导：</w:t>
            </w:r>
            <w:r>
              <w:rPr>
                <w:rFonts w:hint="eastAsia" w:cs="宋体"/>
                <w:lang w:val="en-US" w:eastAsia="zh-CN"/>
              </w:rPr>
              <w:t xml:space="preserve">王佳       </w:t>
            </w:r>
            <w:r>
              <w:rPr>
                <w:rFonts w:hint="eastAsia" w:ascii="Times New Roman" w:hAnsi="Times New Roman" w:eastAsia="宋体" w:cs="宋体"/>
                <w:lang w:val="en-US" w:eastAsia="zh-CN"/>
              </w:rPr>
              <w:t xml:space="preserve"> 陪同人员:</w:t>
            </w:r>
            <w:r>
              <w:rPr>
                <w:rFonts w:hint="eastAsia" w:cs="宋体"/>
                <w:lang w:val="en-US" w:eastAsia="zh-CN"/>
              </w:rPr>
              <w:t>张晓远</w:t>
            </w:r>
          </w:p>
        </w:tc>
        <w:tc>
          <w:tcPr>
            <w:tcW w:w="834"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70" w:type="dxa"/>
            <w:vMerge w:val="continue"/>
            <w:vAlign w:val="center"/>
          </w:tcPr>
          <w:p>
            <w:pPr>
              <w:rPr>
                <w:rFonts w:hint="eastAsia" w:ascii="Times New Roman" w:hAnsi="Times New Roman" w:eastAsia="宋体" w:cs="宋体"/>
                <w:lang w:val="en-US" w:eastAsia="zh-CN"/>
              </w:rPr>
            </w:pPr>
          </w:p>
        </w:tc>
        <w:tc>
          <w:tcPr>
            <w:tcW w:w="1100" w:type="dxa"/>
            <w:vMerge w:val="continue"/>
            <w:vAlign w:val="center"/>
          </w:tcPr>
          <w:p>
            <w:pPr>
              <w:rPr>
                <w:rFonts w:hint="eastAsia" w:ascii="Times New Roman" w:hAnsi="Times New Roman" w:eastAsia="宋体" w:cs="宋体"/>
                <w:lang w:val="en-US" w:eastAsia="zh-CN"/>
              </w:rPr>
            </w:pPr>
          </w:p>
        </w:tc>
        <w:tc>
          <w:tcPr>
            <w:tcW w:w="1120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审核员： 杨园     </w:t>
            </w:r>
            <w:r>
              <w:rPr>
                <w:rFonts w:hint="eastAsia" w:cs="宋体"/>
                <w:lang w:val="en-US" w:eastAsia="zh-CN"/>
              </w:rPr>
              <w:t xml:space="preserve">    </w:t>
            </w:r>
            <w:r>
              <w:rPr>
                <w:rFonts w:hint="eastAsia" w:ascii="Times New Roman" w:hAnsi="Times New Roman" w:eastAsia="宋体" w:cs="宋体"/>
                <w:lang w:val="en-US" w:eastAsia="zh-CN"/>
              </w:rPr>
              <w:t xml:space="preserve">   </w:t>
            </w:r>
            <w:r>
              <w:rPr>
                <w:rFonts w:hint="eastAsia" w:cs="宋体"/>
                <w:lang w:val="en-US" w:eastAsia="zh-CN"/>
              </w:rPr>
              <w:t xml:space="preserve">     </w:t>
            </w:r>
            <w:r>
              <w:rPr>
                <w:rFonts w:hint="eastAsia" w:ascii="Times New Roman" w:hAnsi="Times New Roman" w:eastAsia="宋体" w:cs="宋体"/>
                <w:lang w:val="en-US" w:eastAsia="zh-CN"/>
              </w:rPr>
              <w:t>审核时间：2022.</w:t>
            </w:r>
            <w:r>
              <w:rPr>
                <w:rFonts w:hint="eastAsia" w:cs="宋体"/>
                <w:lang w:val="en-US" w:eastAsia="zh-CN"/>
              </w:rPr>
              <w:t>10.6日--2022.10.7日</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0" w:type="dxa"/>
            <w:vMerge w:val="continue"/>
            <w:vAlign w:val="center"/>
          </w:tcPr>
          <w:p>
            <w:pPr>
              <w:rPr>
                <w:rFonts w:hint="eastAsia" w:ascii="Times New Roman" w:hAnsi="Times New Roman" w:eastAsia="宋体" w:cs="宋体"/>
                <w:lang w:val="en-US" w:eastAsia="zh-CN"/>
              </w:rPr>
            </w:pPr>
          </w:p>
        </w:tc>
        <w:tc>
          <w:tcPr>
            <w:tcW w:w="1100" w:type="dxa"/>
            <w:vMerge w:val="continue"/>
            <w:vAlign w:val="center"/>
          </w:tcPr>
          <w:p>
            <w:pPr>
              <w:rPr>
                <w:rFonts w:hint="eastAsia" w:ascii="Times New Roman" w:hAnsi="Times New Roman" w:eastAsia="宋体" w:cs="宋体"/>
                <w:lang w:val="en-US" w:eastAsia="zh-CN"/>
              </w:rPr>
            </w:pPr>
          </w:p>
        </w:tc>
        <w:tc>
          <w:tcPr>
            <w:tcW w:w="11205" w:type="dxa"/>
            <w:vAlign w:val="center"/>
          </w:tcPr>
          <w:p>
            <w:pPr>
              <w:rPr>
                <w:rFonts w:hint="eastAsia" w:ascii="Times New Roman" w:hAnsi="Times New Roman" w:eastAsia="宋体" w:cs="Times New Roman"/>
                <w:bCs/>
                <w:sz w:val="21"/>
                <w:szCs w:val="21"/>
                <w:lang w:val="en-US" w:eastAsia="zh-CN"/>
              </w:rPr>
            </w:pPr>
            <w:r>
              <w:rPr>
                <w:rFonts w:hint="eastAsia" w:ascii="Times New Roman" w:hAnsi="Times New Roman" w:eastAsia="宋体" w:cs="宋体"/>
                <w:lang w:val="en-US" w:eastAsia="zh-CN"/>
              </w:rPr>
              <w:t>审核条款：</w:t>
            </w:r>
            <w:r>
              <w:rPr>
                <w:rFonts w:hint="eastAsia" w:ascii="Times New Roman" w:hAnsi="Times New Roman" w:eastAsia="宋体" w:cs="Times New Roman"/>
                <w:bCs/>
                <w:sz w:val="21"/>
                <w:szCs w:val="21"/>
                <w:lang w:val="en-US" w:eastAsia="zh-CN"/>
              </w:rPr>
              <w:t>QEO5.3/6.2/；</w:t>
            </w:r>
          </w:p>
          <w:p>
            <w:pPr>
              <w:ind w:firstLine="1050" w:firstLineChars="500"/>
              <w:rPr>
                <w:rFonts w:hint="eastAsia" w:ascii="Times New Roman" w:hAnsi="Times New Roman" w:eastAsia="宋体" w:cs="宋体"/>
                <w:lang w:val="en-US" w:eastAsia="zh-CN"/>
              </w:rPr>
            </w:pPr>
            <w:r>
              <w:rPr>
                <w:rFonts w:hint="eastAsia" w:ascii="Times New Roman" w:hAnsi="Times New Roman" w:eastAsia="宋体" w:cs="Times New Roman"/>
                <w:bCs/>
                <w:sz w:val="21"/>
                <w:szCs w:val="21"/>
                <w:lang w:val="en-US" w:eastAsia="zh-CN"/>
              </w:rPr>
              <w:t>EO6.1.2/8.1/8.2/9.1.1</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110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QEO5.3</w:t>
            </w:r>
          </w:p>
          <w:p>
            <w:pPr>
              <w:jc w:val="left"/>
              <w:rPr>
                <w:rFonts w:hint="default" w:ascii="Times New Roman" w:hAnsi="Times New Roman" w:eastAsia="宋体" w:cs="宋体"/>
                <w:lang w:val="en-US" w:eastAsia="zh-CN"/>
              </w:rPr>
            </w:pPr>
          </w:p>
        </w:tc>
        <w:tc>
          <w:tcPr>
            <w:tcW w:w="11205" w:type="dxa"/>
            <w:vAlign w:val="center"/>
          </w:tcPr>
          <w:p>
            <w:pPr>
              <w:jc w:val="left"/>
              <w:rPr>
                <w:rFonts w:hint="eastAsia" w:ascii="Times New Roman" w:hAnsi="Times New Roman" w:cs="宋体"/>
                <w:lang w:val="en-US" w:eastAsia="zh-CN"/>
              </w:rPr>
            </w:pPr>
            <w:r>
              <w:rPr>
                <w:rFonts w:hint="eastAsia" w:ascii="Times New Roman" w:hAnsi="Times New Roman" w:cs="宋体"/>
                <w:lang w:val="en-US" w:eastAsia="zh-CN"/>
              </w:rPr>
              <w:t>●部门负责人：王佳；</w:t>
            </w:r>
          </w:p>
          <w:p>
            <w:pPr>
              <w:jc w:val="left"/>
              <w:rPr>
                <w:rFonts w:hint="eastAsia" w:ascii="Times New Roman" w:hAnsi="Times New Roman" w:cs="宋体"/>
                <w:lang w:val="en-US" w:eastAsia="zh-CN"/>
              </w:rPr>
            </w:pPr>
            <w:r>
              <w:rPr>
                <w:rFonts w:hint="eastAsia" w:ascii="Times New Roman" w:hAnsi="Times New Roman" w:cs="宋体"/>
                <w:lang w:val="en-US" w:eastAsia="zh-CN"/>
              </w:rPr>
              <w:t>●王经理介绍保安服务部主要职责有：负责门卫、守护保安服务实现过程的策划工作，将顾客要求及时转换为本公司的作业文件，为保安服务提供正确、完整、符合规范化要求的作业指导书、操作规程、实施方案，工作考核标准等技术文件和资料；根据合同中顾客的要求，编制服务任务通知书，确保按合同规定履行服务任务；负责收集、整理市场动态信息和顾客对服务质量的反馈意见；负责收集、汇总、分析；建立顾客档案，保管合同评审资料，执行国家有关法律、法规，对本部门人员进行守法意识的教育。负责本部门控制和使用的服务设施、装备的管理工作；建立设施、装备台帐、编制设施、装备的年度维护保养计划并组织设施；根据服务合同要求编制服务实施方案，组织服务过程控制，召开服务协调会议，分析研究服务能力状况，确保服务的实施满足顾客要求； 负责督促保安服务人员严格按照保安服务的有关法律法规、规程提供规范服务，确定服务过程中的特殊过程，并指导实施，确保在受控条件下进行保安服务的提供；负责组织对过程人员、设施、装备、服务方案的确认,当执勤人员调整、设施更新、服务条件变化时组织再确认；负责保安服务现场应急准备与响应的管理工作；负责对保安服务现场进行危险源/环境因素辨识、评价、风险控制措施的确定策划；</w:t>
            </w:r>
          </w:p>
          <w:p>
            <w:pPr>
              <w:jc w:val="left"/>
              <w:rPr>
                <w:rFonts w:hint="eastAsia" w:ascii="Times New Roman" w:hAnsi="Times New Roman" w:cs="宋体"/>
                <w:lang w:val="en-US" w:eastAsia="zh-CN"/>
              </w:rPr>
            </w:pPr>
            <w:r>
              <w:rPr>
                <w:rFonts w:hint="eastAsia" w:ascii="Times New Roman" w:hAnsi="Times New Roman" w:cs="宋体"/>
                <w:lang w:val="en-US" w:eastAsia="zh-CN"/>
              </w:rPr>
              <w:t>负责保安服务现场职业健康安全环境的监视、测量工作；负责保安服务中安全环境事故的调查处理，不符合纠正和预防措施的管理工作；领导交办的其他工作。</w:t>
            </w:r>
          </w:p>
          <w:p>
            <w:pPr>
              <w:jc w:val="left"/>
              <w:rPr>
                <w:rFonts w:hint="eastAsia" w:ascii="Times New Roman" w:hAnsi="Times New Roman" w:cs="宋体"/>
                <w:lang w:val="en-US" w:eastAsia="zh-CN"/>
              </w:rPr>
            </w:pPr>
            <w:r>
              <w:rPr>
                <w:rFonts w:hint="eastAsia" w:ascii="Times New Roman" w:hAnsi="Times New Roman" w:cs="宋体"/>
                <w:lang w:val="en-US" w:eastAsia="zh-CN"/>
              </w:rPr>
              <w:t>与王经理沟通，职责明确，回答基本正确，沟通顺畅。</w:t>
            </w:r>
          </w:p>
        </w:tc>
        <w:tc>
          <w:tcPr>
            <w:tcW w:w="834" w:type="dxa"/>
            <w:vAlign w:val="top"/>
          </w:tcPr>
          <w:p>
            <w:pPr>
              <w:rPr>
                <w:rFonts w:hint="default"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目标、指标管理方案</w:t>
            </w:r>
          </w:p>
          <w:p>
            <w:pPr>
              <w:jc w:val="left"/>
              <w:rPr>
                <w:rFonts w:hint="eastAsia" w:ascii="Times New Roman" w:hAnsi="Times New Roman" w:eastAsia="宋体" w:cs="宋体"/>
                <w:lang w:val="en-US" w:eastAsia="zh-CN"/>
              </w:rPr>
            </w:pPr>
          </w:p>
          <w:p>
            <w:pPr>
              <w:jc w:val="left"/>
              <w:rPr>
                <w:rFonts w:hint="eastAsia" w:ascii="Times New Roman" w:hAnsi="Times New Roman" w:eastAsia="宋体" w:cs="宋体"/>
                <w:lang w:val="en-US" w:eastAsia="zh-CN"/>
              </w:rPr>
            </w:pPr>
          </w:p>
          <w:p>
            <w:pPr>
              <w:jc w:val="left"/>
              <w:rPr>
                <w:rFonts w:hint="eastAsia" w:ascii="Times New Roman" w:hAnsi="Times New Roman" w:eastAsia="宋体" w:cs="宋体"/>
                <w:lang w:val="en-US" w:eastAsia="zh-CN"/>
              </w:rPr>
            </w:pPr>
          </w:p>
          <w:p>
            <w:pPr>
              <w:jc w:val="left"/>
              <w:rPr>
                <w:rFonts w:hint="eastAsia" w:ascii="Times New Roman" w:hAnsi="Times New Roman" w:eastAsia="宋体" w:cs="宋体"/>
                <w:lang w:val="en-US" w:eastAsia="zh-CN"/>
              </w:rPr>
            </w:pPr>
          </w:p>
          <w:p>
            <w:pPr>
              <w:jc w:val="left"/>
              <w:rPr>
                <w:rFonts w:hint="eastAsia" w:ascii="Times New Roman" w:hAnsi="Times New Roman" w:eastAsia="宋体" w:cs="宋体"/>
                <w:lang w:val="en-US" w:eastAsia="zh-CN"/>
              </w:rPr>
            </w:pPr>
          </w:p>
        </w:tc>
        <w:tc>
          <w:tcPr>
            <w:tcW w:w="110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QEO6.2  </w:t>
            </w:r>
          </w:p>
          <w:p>
            <w:pPr>
              <w:jc w:val="left"/>
              <w:rPr>
                <w:rFonts w:hint="eastAsia" w:ascii="Times New Roman" w:hAnsi="Times New Roman" w:eastAsia="宋体" w:cs="宋体"/>
                <w:lang w:val="en-US" w:eastAsia="zh-CN"/>
              </w:rPr>
            </w:pPr>
          </w:p>
          <w:p>
            <w:pPr>
              <w:jc w:val="left"/>
              <w:rPr>
                <w:rFonts w:hint="default" w:ascii="Times New Roman" w:hAnsi="Times New Roman" w:eastAsia="宋体" w:cs="宋体"/>
                <w:lang w:val="en-US" w:eastAsia="zh-CN"/>
              </w:rPr>
            </w:pPr>
          </w:p>
        </w:tc>
        <w:tc>
          <w:tcPr>
            <w:tcW w:w="11205" w:type="dxa"/>
            <w:vAlign w:val="center"/>
          </w:tcPr>
          <w:p>
            <w:pPr>
              <w:jc w:val="left"/>
              <w:rPr>
                <w:rFonts w:hint="default" w:ascii="Times New Roman" w:hAnsi="Times New Roman" w:cs="宋体"/>
                <w:lang w:val="en-US" w:eastAsia="zh-CN"/>
              </w:rPr>
            </w:pPr>
            <w:r>
              <w:rPr>
                <w:rFonts w:hint="eastAsia" w:ascii="Times New Roman" w:hAnsi="Times New Roman" w:cs="宋体"/>
                <w:lang w:val="en-US" w:eastAsia="zh-CN"/>
              </w:rPr>
              <w:t>●查见公司《管理手册》ZH-QES-2019-A/0，制定了公司总的管理目标。对目标进行了分解，并规定了测量方法、考核办法和考核周期。提供有《质量、环境、安全目标考核记录》。</w:t>
            </w:r>
          </w:p>
          <w:p>
            <w:pPr>
              <w:jc w:val="left"/>
              <w:rPr>
                <w:rFonts w:hint="eastAsia" w:ascii="Times New Roman" w:hAnsi="Times New Roman" w:cs="宋体"/>
                <w:lang w:val="en-US" w:eastAsia="zh-CN"/>
              </w:rPr>
            </w:pPr>
            <w:r>
              <w:rPr>
                <w:rFonts w:hint="eastAsia" w:ascii="Times New Roman" w:hAnsi="Times New Roman" w:cs="宋体"/>
                <w:lang w:val="en-US" w:eastAsia="zh-CN"/>
              </w:rPr>
              <w:t xml:space="preserve">●查保安服务部  部门目标： </w:t>
            </w:r>
          </w:p>
          <w:p>
            <w:pPr>
              <w:jc w:val="left"/>
              <w:rPr>
                <w:rFonts w:hint="eastAsia" w:ascii="Times New Roman" w:hAnsi="Times New Roman" w:cs="宋体"/>
                <w:lang w:val="en-US" w:eastAsia="zh-CN"/>
              </w:rPr>
            </w:pPr>
            <w:r>
              <w:rPr>
                <w:rFonts w:hint="eastAsia" w:ascii="Times New Roman" w:hAnsi="Times New Roman" w:cs="宋体"/>
                <w:lang w:val="en-US" w:eastAsia="zh-CN"/>
              </w:rPr>
              <w:t xml:space="preserve">       </w:t>
            </w:r>
          </w:p>
          <w:p>
            <w:pPr>
              <w:jc w:val="left"/>
              <w:rPr>
                <w:rFonts w:hint="eastAsia" w:ascii="Times New Roman" w:hAnsi="Times New Roman" w:cs="宋体"/>
                <w:lang w:val="en-US" w:eastAsia="zh-CN"/>
              </w:rPr>
            </w:pPr>
            <w:r>
              <w:rPr>
                <w:rFonts w:hint="eastAsia" w:ascii="Times New Roman" w:hAnsi="Times New Roman" w:cs="宋体"/>
                <w:lang w:val="en-US" w:eastAsia="zh-CN"/>
              </w:rPr>
              <w:t xml:space="preserve">                                           </w:t>
            </w:r>
          </w:p>
          <w:tbl>
            <w:tblPr>
              <w:tblStyle w:val="10"/>
              <w:tblpPr w:leftFromText="180" w:rightFromText="180" w:vertAnchor="text" w:horzAnchor="page" w:tblpX="143" w:tblpY="385"/>
              <w:tblOverlap w:val="never"/>
              <w:tblW w:w="10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5249"/>
              <w:gridCol w:w="247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11" w:type="dxa"/>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eastAsia="宋体"/>
                      <w:lang w:eastAsia="zh-CN"/>
                    </w:rPr>
                  </w:pPr>
                  <w:r>
                    <w:rPr>
                      <w:rFonts w:hint="eastAsia"/>
                      <w:lang w:eastAsia="zh-CN"/>
                    </w:rPr>
                    <w:t>目标</w:t>
                  </w:r>
                </w:p>
              </w:tc>
              <w:tc>
                <w:tcPr>
                  <w:tcW w:w="2470" w:type="dxa"/>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考核（2022年1季度）</w:t>
                  </w:r>
                </w:p>
              </w:tc>
              <w:tc>
                <w:tcPr>
                  <w:tcW w:w="2148" w:type="dxa"/>
                  <w:noWrap w:val="0"/>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考核（2022年2季度）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11" w:type="dxa"/>
                  <w:vMerge w:val="restart"/>
                  <w:noWrap w:val="0"/>
                  <w:vAlign w:val="center"/>
                </w:tcPr>
                <w:p>
                  <w:pPr>
                    <w:spacing w:line="320" w:lineRule="exact"/>
                    <w:jc w:val="center"/>
                    <w:rPr>
                      <w:rFonts w:hint="eastAsia" w:ascii="宋体" w:hAnsi="宋体" w:cs="宋体"/>
                      <w:b/>
                      <w:sz w:val="24"/>
                    </w:rPr>
                  </w:pPr>
                  <w:r>
                    <w:rPr>
                      <w:rFonts w:hint="eastAsia" w:ascii="宋体" w:hAnsi="宋体" w:cs="宋体"/>
                      <w:b/>
                      <w:sz w:val="24"/>
                    </w:rPr>
                    <w:t>保安服务部</w:t>
                  </w:r>
                </w:p>
              </w:tc>
              <w:tc>
                <w:tcPr>
                  <w:tcW w:w="5249" w:type="dxa"/>
                  <w:noWrap w:val="0"/>
                  <w:vAlign w:val="top"/>
                </w:tcPr>
                <w:p>
                  <w:pPr>
                    <w:rPr>
                      <w:rFonts w:hint="eastAsia"/>
                    </w:rPr>
                  </w:pPr>
                  <w:r>
                    <w:rPr>
                      <w:rFonts w:hint="eastAsia"/>
                    </w:rPr>
                    <w:t>客户满意率</w:t>
                  </w:r>
                  <w:r>
                    <w:t>≥</w:t>
                  </w:r>
                  <w:r>
                    <w:rPr>
                      <w:rFonts w:hint="eastAsia"/>
                    </w:rPr>
                    <w:t>95%</w:t>
                  </w:r>
                </w:p>
              </w:tc>
              <w:tc>
                <w:tcPr>
                  <w:tcW w:w="4618" w:type="dxa"/>
                  <w:gridSpan w:val="2"/>
                  <w:noWrap w:val="0"/>
                  <w:vAlign w:val="center"/>
                </w:tcPr>
                <w:p>
                  <w:pPr>
                    <w:jc w:val="center"/>
                    <w:rPr>
                      <w:rFonts w:hint="default" w:eastAsia="宋体"/>
                      <w:highlight w:val="yellow"/>
                      <w:lang w:val="en-US" w:eastAsia="zh-CN"/>
                    </w:rPr>
                  </w:pPr>
                  <w:r>
                    <w:rPr>
                      <w:rFonts w:hint="eastAsia" w:ascii="Times New Roman" w:hAnsi="Times New Roman" w:eastAsia="宋体" w:cs="Times New Roman"/>
                      <w:lang w:val="en-US" w:eastAsia="zh-CN"/>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rPr>
                      <w:rFonts w:hint="eastAsia"/>
                    </w:rPr>
                    <w:t>值班员工在岗履职合格率</w:t>
                  </w:r>
                  <w:r>
                    <w:t>≥</w:t>
                  </w:r>
                  <w:r>
                    <w:rPr>
                      <w:rFonts w:hint="eastAsia"/>
                    </w:rPr>
                    <w:t>98%</w:t>
                  </w:r>
                </w:p>
              </w:tc>
              <w:tc>
                <w:tcPr>
                  <w:tcW w:w="2470" w:type="dxa"/>
                  <w:noWrap w:val="0"/>
                  <w:vAlign w:val="center"/>
                </w:tcPr>
                <w:p>
                  <w:pPr>
                    <w:jc w:val="center"/>
                    <w:rPr>
                      <w:rFonts w:hint="eastAsia"/>
                    </w:rPr>
                  </w:pPr>
                  <w:r>
                    <w:rPr>
                      <w:rFonts w:hint="eastAsia"/>
                    </w:rPr>
                    <w:t>100%</w:t>
                  </w:r>
                </w:p>
              </w:tc>
              <w:tc>
                <w:tcPr>
                  <w:tcW w:w="2148" w:type="dxa"/>
                  <w:noWrap w:val="0"/>
                  <w:vAlign w:val="center"/>
                </w:tcPr>
                <w:p>
                  <w:pPr>
                    <w:jc w:val="center"/>
                    <w:rPr>
                      <w:rFonts w:hint="eastAsi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rPr>
                      <w:rFonts w:hint="eastAsia"/>
                    </w:rPr>
                    <w:t>客户投诉处理及时率100%</w:t>
                  </w:r>
                </w:p>
              </w:tc>
              <w:tc>
                <w:tcPr>
                  <w:tcW w:w="2470" w:type="dxa"/>
                  <w:noWrap w:val="0"/>
                  <w:vAlign w:val="center"/>
                </w:tcPr>
                <w:p>
                  <w:pPr>
                    <w:jc w:val="center"/>
                    <w:rPr>
                      <w:rFonts w:hint="eastAsia"/>
                    </w:rPr>
                  </w:pPr>
                  <w:r>
                    <w:rPr>
                      <w:rFonts w:hint="eastAsia"/>
                    </w:rPr>
                    <w:t>100%</w:t>
                  </w:r>
                </w:p>
              </w:tc>
              <w:tc>
                <w:tcPr>
                  <w:tcW w:w="2148" w:type="dxa"/>
                  <w:noWrap w:val="0"/>
                  <w:vAlign w:val="center"/>
                </w:tcPr>
                <w:p>
                  <w:pPr>
                    <w:jc w:val="center"/>
                    <w:rPr>
                      <w:rFonts w:hint="eastAsi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t>固体废</w:t>
                  </w:r>
                  <w:r>
                    <w:rPr>
                      <w:rFonts w:hint="eastAsia"/>
                    </w:rPr>
                    <w:t>弃</w:t>
                  </w:r>
                  <w:r>
                    <w:t>物分类</w:t>
                  </w:r>
                  <w:r>
                    <w:rPr>
                      <w:rFonts w:hint="eastAsia"/>
                    </w:rPr>
                    <w:t>、处置符合标准要求</w:t>
                  </w:r>
                </w:p>
              </w:tc>
              <w:tc>
                <w:tcPr>
                  <w:tcW w:w="2470" w:type="dxa"/>
                  <w:noWrap w:val="0"/>
                  <w:vAlign w:val="center"/>
                </w:tcPr>
                <w:p>
                  <w:pPr>
                    <w:jc w:val="center"/>
                    <w:rPr>
                      <w:rFonts w:hint="eastAsia"/>
                    </w:rPr>
                  </w:pPr>
                  <w:r>
                    <w:rPr>
                      <w:rFonts w:hint="eastAsia"/>
                    </w:rPr>
                    <w:t>符合标准要求</w:t>
                  </w:r>
                </w:p>
              </w:tc>
              <w:tc>
                <w:tcPr>
                  <w:tcW w:w="2148" w:type="dxa"/>
                  <w:noWrap w:val="0"/>
                  <w:vAlign w:val="center"/>
                </w:tcPr>
                <w:p>
                  <w:pPr>
                    <w:jc w:val="center"/>
                    <w:rPr>
                      <w:rFonts w:hint="eastAsia"/>
                    </w:rPr>
                  </w:pPr>
                  <w:r>
                    <w:rPr>
                      <w:rFonts w:hint="eastAsia"/>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rPr>
                      <w:rFonts w:hint="eastAsia"/>
                    </w:rPr>
                    <w:t>刑事案件和消防事故发案率为0</w:t>
                  </w:r>
                </w:p>
              </w:tc>
              <w:tc>
                <w:tcPr>
                  <w:tcW w:w="2470" w:type="dxa"/>
                  <w:noWrap w:val="0"/>
                  <w:vAlign w:val="center"/>
                </w:tcPr>
                <w:p>
                  <w:pPr>
                    <w:jc w:val="center"/>
                    <w:rPr>
                      <w:rFonts w:hint="eastAsia"/>
                    </w:rPr>
                  </w:pPr>
                  <w:r>
                    <w:rPr>
                      <w:rFonts w:hint="eastAsia"/>
                    </w:rPr>
                    <w:t>0</w:t>
                  </w:r>
                </w:p>
              </w:tc>
              <w:tc>
                <w:tcPr>
                  <w:tcW w:w="2148" w:type="dxa"/>
                  <w:noWrap w:val="0"/>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rPr>
                      <w:rFonts w:hint="eastAsia"/>
                    </w:rPr>
                    <w:t>杜绝安全隐患引起的人员伤亡和重大财产损失事故为0</w:t>
                  </w:r>
                </w:p>
              </w:tc>
              <w:tc>
                <w:tcPr>
                  <w:tcW w:w="2470" w:type="dxa"/>
                  <w:noWrap w:val="0"/>
                  <w:vAlign w:val="center"/>
                </w:tcPr>
                <w:p>
                  <w:pPr>
                    <w:jc w:val="center"/>
                    <w:rPr>
                      <w:rFonts w:hint="eastAsia"/>
                    </w:rPr>
                  </w:pPr>
                  <w:r>
                    <w:rPr>
                      <w:rFonts w:hint="eastAsia"/>
                    </w:rPr>
                    <w:t>0</w:t>
                  </w:r>
                </w:p>
              </w:tc>
              <w:tc>
                <w:tcPr>
                  <w:tcW w:w="2148" w:type="dxa"/>
                  <w:noWrap w:val="0"/>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vMerge w:val="continue"/>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rPr>
                  </w:pPr>
                  <w:r>
                    <w:rPr>
                      <w:rFonts w:hint="eastAsia"/>
                    </w:rPr>
                    <w:t>杜绝新冠病毒传染</w:t>
                  </w:r>
                </w:p>
              </w:tc>
              <w:tc>
                <w:tcPr>
                  <w:tcW w:w="2470" w:type="dxa"/>
                  <w:noWrap w:val="0"/>
                  <w:vAlign w:val="center"/>
                </w:tcPr>
                <w:p>
                  <w:pPr>
                    <w:jc w:val="center"/>
                    <w:rPr>
                      <w:rFonts w:hint="eastAsia"/>
                    </w:rPr>
                  </w:pPr>
                  <w:r>
                    <w:rPr>
                      <w:rFonts w:hint="eastAsia"/>
                    </w:rPr>
                    <w:t>无感染</w:t>
                  </w:r>
                </w:p>
              </w:tc>
              <w:tc>
                <w:tcPr>
                  <w:tcW w:w="2148" w:type="dxa"/>
                  <w:noWrap w:val="0"/>
                  <w:vAlign w:val="center"/>
                </w:tcPr>
                <w:p>
                  <w:pPr>
                    <w:jc w:val="center"/>
                    <w:rPr>
                      <w:rFonts w:hint="eastAsia"/>
                    </w:rPr>
                  </w:pPr>
                  <w:r>
                    <w:rPr>
                      <w:rFonts w:hint="eastAsia"/>
                    </w:rPr>
                    <w:t>无感染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11" w:type="dxa"/>
                  <w:noWrap w:val="0"/>
                  <w:vAlign w:val="center"/>
                </w:tcPr>
                <w:p>
                  <w:pPr>
                    <w:spacing w:line="320" w:lineRule="exact"/>
                    <w:jc w:val="center"/>
                    <w:rPr>
                      <w:rFonts w:hint="eastAsia" w:ascii="宋体" w:hAnsi="宋体" w:cs="宋体"/>
                      <w:b/>
                      <w:sz w:val="24"/>
                    </w:rPr>
                  </w:pPr>
                </w:p>
              </w:tc>
              <w:tc>
                <w:tcPr>
                  <w:tcW w:w="5249" w:type="dxa"/>
                  <w:noWrap w:val="0"/>
                  <w:vAlign w:val="top"/>
                </w:tcPr>
                <w:p>
                  <w:pPr>
                    <w:rPr>
                      <w:rFonts w:hint="eastAsia" w:eastAsia="宋体"/>
                      <w:lang w:eastAsia="zh-CN"/>
                    </w:rPr>
                  </w:pPr>
                  <w:r>
                    <w:rPr>
                      <w:rFonts w:hint="eastAsia"/>
                      <w:lang w:eastAsia="zh-CN"/>
                    </w:rPr>
                    <w:t>考核人：王佳</w:t>
                  </w:r>
                </w:p>
              </w:tc>
              <w:tc>
                <w:tcPr>
                  <w:tcW w:w="2470" w:type="dxa"/>
                  <w:noWrap w:val="0"/>
                  <w:vAlign w:val="center"/>
                </w:tcPr>
                <w:p>
                  <w:pPr>
                    <w:jc w:val="center"/>
                    <w:rPr>
                      <w:rFonts w:hint="eastAsia"/>
                    </w:rPr>
                  </w:pPr>
                  <w:r>
                    <w:rPr>
                      <w:rFonts w:hint="eastAsia"/>
                    </w:rPr>
                    <w:t>2</w:t>
                  </w:r>
                  <w:r>
                    <w:t>02</w:t>
                  </w:r>
                  <w:r>
                    <w:rPr>
                      <w:rFonts w:hint="eastAsia"/>
                      <w:lang w:val="en-US" w:eastAsia="zh-CN"/>
                    </w:rPr>
                    <w:t>2</w:t>
                  </w:r>
                  <w:r>
                    <w:t>.03.31</w:t>
                  </w:r>
                </w:p>
              </w:tc>
              <w:tc>
                <w:tcPr>
                  <w:tcW w:w="2148" w:type="dxa"/>
                  <w:noWrap w:val="0"/>
                  <w:vAlign w:val="center"/>
                </w:tcPr>
                <w:p>
                  <w:pPr>
                    <w:jc w:val="center"/>
                    <w:rPr>
                      <w:rFonts w:hint="eastAsia"/>
                    </w:rPr>
                  </w:pPr>
                  <w:r>
                    <w:rPr>
                      <w:rFonts w:hint="eastAsia"/>
                    </w:rPr>
                    <w:t>2</w:t>
                  </w:r>
                  <w:r>
                    <w:t>02</w:t>
                  </w:r>
                  <w:r>
                    <w:rPr>
                      <w:rFonts w:hint="eastAsia"/>
                      <w:lang w:val="en-US" w:eastAsia="zh-CN"/>
                    </w:rPr>
                    <w:t>2</w:t>
                  </w:r>
                  <w:r>
                    <w:t>.06.30</w:t>
                  </w:r>
                </w:p>
              </w:tc>
            </w:tr>
          </w:tbl>
          <w:p>
            <w:pPr>
              <w:jc w:val="left"/>
              <w:rPr>
                <w:rFonts w:hint="eastAsia" w:ascii="Times New Roman" w:hAnsi="Times New Roman" w:cs="宋体"/>
                <w:lang w:val="en-US" w:eastAsia="zh-CN"/>
              </w:rPr>
            </w:pPr>
          </w:p>
          <w:p>
            <w:pPr>
              <w:jc w:val="left"/>
              <w:rPr>
                <w:rFonts w:hint="eastAsia" w:ascii="Times New Roman" w:hAnsi="Times New Roman" w:cs="宋体"/>
                <w:lang w:val="en-US" w:eastAsia="zh-CN"/>
              </w:rPr>
            </w:pPr>
          </w:p>
          <w:p>
            <w:pPr>
              <w:jc w:val="left"/>
              <w:rPr>
                <w:rFonts w:hint="eastAsia" w:ascii="Times New Roman" w:hAnsi="Times New Roman" w:cs="宋体"/>
                <w:lang w:val="en-US" w:eastAsia="zh-CN"/>
              </w:rPr>
            </w:pPr>
            <w:r>
              <w:rPr>
                <w:rFonts w:hint="eastAsia" w:ascii="Times New Roman" w:hAnsi="Times New Roman" w:cs="宋体"/>
                <w:lang w:val="en-US" w:eastAsia="zh-CN"/>
              </w:rPr>
              <w:t>●建立了目标指标管理方案，提供了《环境/安全康目标及管理方案》及考核记录。</w:t>
            </w:r>
          </w:p>
          <w:p>
            <w:pPr>
              <w:jc w:val="left"/>
              <w:rPr>
                <w:rFonts w:hint="eastAsia" w:ascii="Times New Roman" w:hAnsi="Times New Roman" w:cs="宋体"/>
                <w:lang w:val="en-US" w:eastAsia="zh-CN"/>
              </w:rPr>
            </w:pPr>
            <w:r>
              <w:rPr>
                <w:rFonts w:hint="eastAsia" w:ascii="Times New Roman" w:hAnsi="Times New Roman" w:cs="宋体"/>
                <w:lang w:val="en-US" w:eastAsia="zh-CN"/>
              </w:rPr>
              <w:t>查管理方案实施情况：</w:t>
            </w:r>
          </w:p>
          <w:p>
            <w:pPr>
              <w:jc w:val="left"/>
              <w:rPr>
                <w:rFonts w:hint="eastAsia" w:ascii="Times New Roman" w:hAnsi="Times New Roman" w:cs="宋体"/>
                <w:lang w:val="en-US" w:eastAsia="zh-CN"/>
              </w:rPr>
            </w:pPr>
            <w:r>
              <w:rPr>
                <w:rFonts w:hint="eastAsia" w:ascii="Times New Roman" w:hAnsi="Times New Roman" w:cs="宋体"/>
                <w:lang w:val="en-US" w:eastAsia="zh-CN"/>
              </w:rPr>
              <w:t>——查目标指标：固体废弃物分类、处置符合标准要求；</w:t>
            </w:r>
          </w:p>
          <w:p>
            <w:pPr>
              <w:jc w:val="left"/>
              <w:rPr>
                <w:rFonts w:hint="eastAsia" w:ascii="Times New Roman" w:hAnsi="Times New Roman" w:cs="宋体"/>
                <w:lang w:val="en-US" w:eastAsia="zh-CN"/>
              </w:rPr>
            </w:pPr>
            <w:r>
              <w:rPr>
                <w:rFonts w:hint="eastAsia" w:ascii="Times New Roman" w:hAnsi="Times New Roman" w:cs="宋体"/>
                <w:lang w:val="en-US" w:eastAsia="zh-CN"/>
              </w:rPr>
              <w:t>管理方案：1.废弃硒鼓、墨盒由供应商回收统一处理。</w:t>
            </w:r>
          </w:p>
          <w:p>
            <w:pPr>
              <w:jc w:val="left"/>
              <w:rPr>
                <w:rFonts w:hint="eastAsia" w:ascii="Times New Roman" w:hAnsi="Times New Roman" w:cs="宋体"/>
                <w:lang w:val="en-US" w:eastAsia="zh-CN"/>
              </w:rPr>
            </w:pPr>
            <w:r>
              <w:rPr>
                <w:rFonts w:hint="eastAsia" w:ascii="Times New Roman" w:hAnsi="Times New Roman" w:cs="宋体"/>
                <w:lang w:val="en-US" w:eastAsia="zh-CN"/>
              </w:rPr>
              <w:t>2.废弃灯管、电池等设置专门回收桶，统一集中由环卫部门回收处理。</w:t>
            </w:r>
          </w:p>
          <w:p>
            <w:pPr>
              <w:pStyle w:val="2"/>
              <w:ind w:left="0" w:leftChars="0" w:firstLine="0" w:firstLineChars="0"/>
              <w:rPr>
                <w:rFonts w:hint="default"/>
                <w:lang w:val="en-US" w:eastAsia="zh-CN"/>
              </w:rPr>
            </w:pPr>
            <w:r>
              <w:rPr>
                <w:rFonts w:hint="eastAsia" w:ascii="Times New Roman" w:hAnsi="Times New Roman" w:eastAsia="宋体" w:cs="宋体"/>
                <w:kern w:val="2"/>
                <w:sz w:val="21"/>
                <w:szCs w:val="20"/>
                <w:lang w:val="en-US" w:eastAsia="zh-CN" w:bidi="ar-SA"/>
              </w:rPr>
              <w:t>责任部门：保安服务部；资源需求：购置垃圾桶等垃圾回收装置3000元</w:t>
            </w:r>
            <w:r>
              <w:rPr>
                <w:rFonts w:hint="eastAsia" w:ascii="Times New Roman" w:hAnsi="Times New Roman" w:cs="宋体"/>
                <w:kern w:val="2"/>
                <w:sz w:val="21"/>
                <w:szCs w:val="20"/>
                <w:lang w:val="en-US" w:eastAsia="zh-CN" w:bidi="ar-SA"/>
              </w:rPr>
              <w:t>；2022年全年；</w:t>
            </w:r>
          </w:p>
          <w:p>
            <w:pPr>
              <w:jc w:val="left"/>
              <w:rPr>
                <w:rFonts w:hint="eastAsia" w:ascii="Times New Roman" w:hAnsi="Times New Roman" w:cs="宋体"/>
                <w:lang w:val="en-US" w:eastAsia="zh-CN"/>
              </w:rPr>
            </w:pPr>
            <w:r>
              <w:rPr>
                <w:rFonts w:hint="eastAsia" w:ascii="Times New Roman" w:hAnsi="Times New Roman" w:cs="宋体"/>
                <w:lang w:val="en-US" w:eastAsia="zh-CN"/>
              </w:rPr>
              <w:t>——查目标指标：刑事案件和消防事故发案率为0</w:t>
            </w:r>
          </w:p>
          <w:p>
            <w:pPr>
              <w:jc w:val="left"/>
              <w:rPr>
                <w:rFonts w:hint="eastAsia" w:ascii="Times New Roman" w:hAnsi="Times New Roman" w:cs="宋体"/>
                <w:lang w:val="en-US" w:eastAsia="zh-CN"/>
              </w:rPr>
            </w:pPr>
            <w:r>
              <w:rPr>
                <w:rFonts w:hint="eastAsia" w:ascii="Times New Roman" w:hAnsi="Times New Roman" w:cs="宋体"/>
                <w:lang w:val="en-US" w:eastAsia="zh-CN"/>
              </w:rPr>
              <w:t>管理方案：1消防设施配备率100%，建立应急预案，定期进行消防演习；</w:t>
            </w:r>
          </w:p>
          <w:p>
            <w:pPr>
              <w:jc w:val="left"/>
              <w:rPr>
                <w:rFonts w:hint="eastAsia" w:ascii="Times New Roman" w:hAnsi="Times New Roman" w:cs="宋体"/>
                <w:lang w:val="en-US" w:eastAsia="zh-CN"/>
              </w:rPr>
            </w:pPr>
            <w:r>
              <w:rPr>
                <w:rFonts w:hint="eastAsia" w:ascii="Times New Roman" w:hAnsi="Times New Roman" w:cs="宋体"/>
                <w:lang w:val="en-US" w:eastAsia="zh-CN"/>
              </w:rPr>
              <w:t>2加强日常巡逻，及时发现可疑人员。</w:t>
            </w:r>
          </w:p>
          <w:p>
            <w:pPr>
              <w:jc w:val="left"/>
              <w:rPr>
                <w:rFonts w:hint="eastAsia" w:ascii="Times New Roman" w:hAnsi="Times New Roman" w:cs="宋体"/>
                <w:lang w:val="en-US" w:eastAsia="zh-CN"/>
              </w:rPr>
            </w:pPr>
            <w:r>
              <w:rPr>
                <w:rFonts w:hint="eastAsia" w:ascii="Times New Roman" w:hAnsi="Times New Roman" w:cs="宋体"/>
                <w:lang w:val="en-US" w:eastAsia="zh-CN"/>
              </w:rPr>
              <w:t>责任部门：保安服务部；资源需求：定期给灭火器内加压： 600元，购置防护用品：6500元；2022年全年；</w:t>
            </w:r>
          </w:p>
          <w:p>
            <w:pPr>
              <w:jc w:val="left"/>
              <w:rPr>
                <w:rFonts w:hint="eastAsia" w:ascii="Times New Roman" w:hAnsi="Times New Roman" w:cs="宋体"/>
                <w:lang w:val="en-US" w:eastAsia="zh-CN"/>
              </w:rPr>
            </w:pPr>
            <w:r>
              <w:rPr>
                <w:rFonts w:hint="eastAsia" w:ascii="Times New Roman" w:hAnsi="Times New Roman" w:cs="宋体"/>
                <w:lang w:val="en-US" w:eastAsia="zh-CN"/>
              </w:rPr>
              <w:t>——查目标指标：杜绝新冠病毒传染</w:t>
            </w:r>
          </w:p>
          <w:p>
            <w:pPr>
              <w:jc w:val="left"/>
              <w:rPr>
                <w:rFonts w:hint="eastAsia" w:ascii="Times New Roman" w:hAnsi="Times New Roman" w:cs="宋体"/>
                <w:lang w:val="en-US" w:eastAsia="zh-CN"/>
              </w:rPr>
            </w:pPr>
            <w:r>
              <w:rPr>
                <w:rFonts w:hint="eastAsia" w:ascii="Times New Roman" w:hAnsi="Times New Roman" w:cs="宋体"/>
                <w:lang w:val="en-US" w:eastAsia="zh-CN"/>
              </w:rPr>
              <w:t>管理方案：1.制定疫情疾病的重大应急预案，</w:t>
            </w:r>
          </w:p>
          <w:p>
            <w:pPr>
              <w:jc w:val="left"/>
              <w:rPr>
                <w:rFonts w:hint="eastAsia" w:ascii="Times New Roman" w:hAnsi="Times New Roman" w:cs="宋体"/>
                <w:lang w:val="en-US" w:eastAsia="zh-CN"/>
              </w:rPr>
            </w:pPr>
            <w:r>
              <w:rPr>
                <w:rFonts w:hint="eastAsia" w:ascii="Times New Roman" w:hAnsi="Times New Roman" w:cs="宋体"/>
                <w:lang w:val="en-US" w:eastAsia="zh-CN"/>
              </w:rPr>
              <w:t>2.购置防护物资进行人员发放和佩戴检查；对外地人员归来进行先期自我隔离；</w:t>
            </w:r>
          </w:p>
          <w:p>
            <w:pPr>
              <w:jc w:val="left"/>
              <w:rPr>
                <w:rFonts w:hint="eastAsia" w:ascii="Times New Roman" w:hAnsi="Times New Roman" w:cs="宋体"/>
                <w:lang w:val="en-US" w:eastAsia="zh-CN"/>
              </w:rPr>
            </w:pPr>
            <w:r>
              <w:rPr>
                <w:rFonts w:hint="eastAsia" w:ascii="Times New Roman" w:hAnsi="Times New Roman" w:cs="宋体"/>
                <w:lang w:val="en-US" w:eastAsia="zh-CN"/>
              </w:rPr>
              <w:t>3.发现疑似病例及时报告指定单位进行处理；</w:t>
            </w:r>
          </w:p>
          <w:p>
            <w:pPr>
              <w:jc w:val="left"/>
              <w:rPr>
                <w:rFonts w:hint="eastAsia" w:ascii="Times New Roman" w:hAnsi="Times New Roman" w:cs="宋体"/>
                <w:lang w:val="en-US" w:eastAsia="zh-CN"/>
              </w:rPr>
            </w:pPr>
            <w:r>
              <w:rPr>
                <w:rFonts w:hint="eastAsia" w:ascii="Times New Roman" w:hAnsi="Times New Roman" w:cs="宋体"/>
                <w:lang w:val="en-US" w:eastAsia="zh-CN"/>
              </w:rPr>
              <w:t>4.尽可能选取私家车辆进行上下班交通工具；</w:t>
            </w:r>
          </w:p>
          <w:p>
            <w:pPr>
              <w:jc w:val="left"/>
              <w:rPr>
                <w:rFonts w:hint="eastAsia" w:ascii="Times New Roman" w:hAnsi="Times New Roman" w:cs="宋体"/>
                <w:lang w:val="en-US" w:eastAsia="zh-CN"/>
              </w:rPr>
            </w:pPr>
            <w:r>
              <w:rPr>
                <w:rFonts w:hint="eastAsia" w:ascii="Times New Roman" w:hAnsi="Times New Roman" w:cs="宋体"/>
                <w:lang w:val="en-US" w:eastAsia="zh-CN"/>
              </w:rPr>
              <w:t>5.公共交通应个人进行良好防护；</w:t>
            </w:r>
          </w:p>
          <w:p>
            <w:pPr>
              <w:jc w:val="left"/>
              <w:rPr>
                <w:rFonts w:hint="eastAsia" w:ascii="Times New Roman" w:hAnsi="Times New Roman" w:cs="宋体"/>
                <w:lang w:val="en-US" w:eastAsia="zh-CN"/>
              </w:rPr>
            </w:pPr>
            <w:r>
              <w:rPr>
                <w:rFonts w:hint="eastAsia" w:ascii="Times New Roman" w:hAnsi="Times New Roman" w:cs="宋体"/>
                <w:lang w:val="en-US" w:eastAsia="zh-CN"/>
              </w:rPr>
              <w:t>6..尽量避免人员聚集，设置工作隔离性的工作场所，做好人员间隔要求；</w:t>
            </w:r>
          </w:p>
          <w:p>
            <w:pPr>
              <w:jc w:val="left"/>
              <w:rPr>
                <w:rFonts w:hint="default" w:ascii="Times New Roman" w:hAnsi="Times New Roman" w:eastAsia="宋体" w:cs="宋体"/>
                <w:lang w:val="en-US" w:eastAsia="zh-CN"/>
              </w:rPr>
            </w:pPr>
            <w:r>
              <w:rPr>
                <w:rFonts w:hint="eastAsia" w:ascii="Times New Roman" w:hAnsi="Times New Roman" w:cs="宋体"/>
                <w:lang w:val="en-US" w:eastAsia="zh-CN"/>
              </w:rPr>
              <w:t>责任部门：保安服务部；资源需求：防疫用品、消毒用品购置费1000元；2022年全年；</w:t>
            </w:r>
          </w:p>
          <w:p>
            <w:pPr>
              <w:jc w:val="left"/>
              <w:rPr>
                <w:rFonts w:hint="eastAsia" w:ascii="Times New Roman" w:hAnsi="Times New Roman" w:cs="宋体"/>
                <w:lang w:val="en-US" w:eastAsia="zh-CN"/>
              </w:rPr>
            </w:pPr>
            <w:r>
              <w:rPr>
                <w:rFonts w:hint="eastAsia" w:ascii="Times New Roman" w:hAnsi="Times New Roman" w:cs="宋体"/>
                <w:lang w:val="en-US" w:eastAsia="zh-CN"/>
              </w:rPr>
              <w:t>查其他目标指标如杜绝安全隐患引起的人员伤亡和重大财产损失事故为0，制定了管理方案，规定了责任部门及考核部门。</w:t>
            </w:r>
          </w:p>
          <w:p>
            <w:pPr>
              <w:jc w:val="left"/>
              <w:rPr>
                <w:rFonts w:hint="eastAsia" w:ascii="Times New Roman" w:hAnsi="Times New Roman" w:cs="宋体"/>
                <w:lang w:val="en-US" w:eastAsia="zh-CN"/>
              </w:rPr>
            </w:pPr>
            <w:r>
              <w:rPr>
                <w:rFonts w:hint="eastAsia" w:ascii="Times New Roman" w:hAnsi="Times New Roman" w:cs="宋体"/>
                <w:lang w:val="en-US" w:eastAsia="zh-CN"/>
              </w:rPr>
              <w:t>以上目标指标每季度进行检查考核。提供有考核记录。经查，各项措施按要求落实，完成了阶段性目标。考核人：王晓东。</w:t>
            </w:r>
          </w:p>
          <w:p>
            <w:pPr>
              <w:jc w:val="left"/>
              <w:rPr>
                <w:rFonts w:hint="eastAsia" w:ascii="Times New Roman" w:hAnsi="Times New Roman" w:cs="宋体"/>
                <w:lang w:val="en-US" w:eastAsia="zh-CN"/>
              </w:rPr>
            </w:pPr>
            <w:r>
              <w:rPr>
                <w:rFonts w:hint="eastAsia" w:ascii="Times New Roman" w:hAnsi="Times New Roman" w:cs="宋体"/>
                <w:lang w:val="en-US" w:eastAsia="zh-CN"/>
              </w:rPr>
              <w:t>目标考核结果已提交至管理评审。</w:t>
            </w:r>
          </w:p>
          <w:p>
            <w:pPr>
              <w:jc w:val="left"/>
              <w:rPr>
                <w:rFonts w:hint="eastAsia" w:ascii="Times New Roman" w:hAnsi="Times New Roman" w:cs="宋体"/>
                <w:lang w:val="en-US" w:eastAsia="zh-CN"/>
              </w:rPr>
            </w:pPr>
            <w:r>
              <w:rPr>
                <w:rFonts w:hint="eastAsia" w:ascii="Times New Roman" w:hAnsi="Times New Roman" w:cs="宋体"/>
                <w:lang w:val="en-US" w:eastAsia="zh-CN"/>
              </w:rPr>
              <w:t>制定的目标指标和管理方案基本可行。</w:t>
            </w:r>
          </w:p>
        </w:tc>
        <w:tc>
          <w:tcPr>
            <w:tcW w:w="834" w:type="dxa"/>
            <w:vAlign w:val="top"/>
          </w:tcPr>
          <w:p>
            <w:pPr>
              <w:rPr>
                <w:rFonts w:hint="default"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环境因素、危险源识别</w:t>
            </w:r>
          </w:p>
        </w:tc>
        <w:tc>
          <w:tcPr>
            <w:tcW w:w="1100"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EO6.1.2</w:t>
            </w:r>
          </w:p>
          <w:p>
            <w:pPr>
              <w:jc w:val="left"/>
              <w:rPr>
                <w:rFonts w:hint="default" w:ascii="Times New Roman" w:hAnsi="Times New Roman" w:eastAsia="宋体" w:cs="宋体"/>
                <w:lang w:val="en-US" w:eastAsia="zh-CN"/>
              </w:rPr>
            </w:pPr>
          </w:p>
        </w:tc>
        <w:tc>
          <w:tcPr>
            <w:tcW w:w="11205" w:type="dxa"/>
            <w:vAlign w:val="center"/>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●编制了《环境因素识别与评价控制程序》、《危险源辨识、风险评价与控制程序》，符合标准要求。</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●查《环境因素清单及识别评价表》，按活动和过程识别出保安服务部环境因素包括电能消耗，水资源消耗，尾气排放装卸噪声排放，原料洒落，粉尘排放，废油排放，烟头丢弃引发的火灾</w:t>
            </w:r>
            <w:r>
              <w:rPr>
                <w:rFonts w:hint="eastAsia" w:ascii="Times New Roman" w:hAnsi="Times New Roman" w:cs="宋体"/>
                <w:lang w:val="en-US" w:eastAsia="zh-CN"/>
              </w:rPr>
              <w:t>，废弃纸张，生活废水排放，废电池、废灯管废硒鼓、废墨盒排放，生活垃圾排放，汽车鸣笛噪声</w:t>
            </w:r>
            <w:r>
              <w:rPr>
                <w:rFonts w:hint="eastAsia" w:ascii="Times New Roman" w:hAnsi="Times New Roman" w:eastAsia="宋体" w:cs="宋体"/>
                <w:lang w:val="en-US" w:eastAsia="zh-CN"/>
              </w:rPr>
              <w:t>等。评价考虑了影响范围</w:t>
            </w:r>
            <w:r>
              <w:rPr>
                <w:rFonts w:hint="eastAsia" w:ascii="Times New Roman" w:hAnsi="Times New Roman" w:cs="宋体"/>
                <w:lang w:val="en-US" w:eastAsia="zh-CN"/>
              </w:rPr>
              <w:t>、</w:t>
            </w:r>
            <w:r>
              <w:rPr>
                <w:rFonts w:hint="eastAsia" w:ascii="Times New Roman" w:hAnsi="Times New Roman" w:eastAsia="宋体" w:cs="宋体"/>
                <w:lang w:val="en-US" w:eastAsia="zh-CN"/>
              </w:rPr>
              <w:t>影响程度</w:t>
            </w:r>
            <w:r>
              <w:rPr>
                <w:rFonts w:hint="eastAsia" w:ascii="Times New Roman" w:hAnsi="Times New Roman" w:cs="宋体"/>
                <w:lang w:val="en-US" w:eastAsia="zh-CN"/>
              </w:rPr>
              <w:t>、</w:t>
            </w:r>
            <w:r>
              <w:rPr>
                <w:rFonts w:hint="eastAsia" w:ascii="Times New Roman" w:hAnsi="Times New Roman" w:eastAsia="宋体" w:cs="宋体"/>
                <w:lang w:val="en-US" w:eastAsia="zh-CN"/>
              </w:rPr>
              <w:t>产生量</w:t>
            </w:r>
            <w:r>
              <w:rPr>
                <w:rFonts w:hint="eastAsia" w:ascii="Times New Roman" w:hAnsi="Times New Roman" w:cs="宋体"/>
                <w:lang w:val="en-US" w:eastAsia="zh-CN"/>
              </w:rPr>
              <w:t>、</w:t>
            </w:r>
            <w:r>
              <w:rPr>
                <w:rFonts w:hint="eastAsia" w:ascii="Times New Roman" w:hAnsi="Times New Roman" w:eastAsia="宋体" w:cs="宋体"/>
                <w:lang w:val="en-US" w:eastAsia="zh-CN"/>
              </w:rPr>
              <w:t>发生频次</w:t>
            </w:r>
            <w:r>
              <w:rPr>
                <w:rFonts w:hint="eastAsia" w:ascii="Times New Roman" w:hAnsi="Times New Roman" w:cs="宋体"/>
                <w:lang w:val="en-US" w:eastAsia="zh-CN"/>
              </w:rPr>
              <w:t>、</w:t>
            </w:r>
            <w:r>
              <w:rPr>
                <w:rFonts w:hint="eastAsia" w:ascii="Times New Roman" w:hAnsi="Times New Roman" w:eastAsia="宋体" w:cs="宋体"/>
                <w:lang w:val="en-US" w:eastAsia="zh-CN"/>
              </w:rPr>
              <w:t>法规符合性</w:t>
            </w:r>
            <w:r>
              <w:rPr>
                <w:rFonts w:hint="eastAsia" w:ascii="Times New Roman" w:hAnsi="Times New Roman" w:cs="宋体"/>
                <w:lang w:val="en-US" w:eastAsia="zh-CN"/>
              </w:rPr>
              <w:t>等方面</w:t>
            </w:r>
            <w:r>
              <w:rPr>
                <w:rFonts w:hint="eastAsia" w:ascii="Times New Roman" w:hAnsi="Times New Roman" w:eastAsia="宋体" w:cs="宋体"/>
                <w:lang w:val="en-US" w:eastAsia="zh-CN"/>
              </w:rPr>
              <w:t>，评价出重要环境因素。</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查《重要环境因素清单》，</w:t>
            </w:r>
            <w:r>
              <w:rPr>
                <w:rFonts w:hint="eastAsia" w:cs="宋体"/>
                <w:lang w:val="en-US" w:eastAsia="zh-CN"/>
              </w:rPr>
              <w:t>保安服务部</w:t>
            </w:r>
            <w:r>
              <w:rPr>
                <w:rFonts w:hint="eastAsia" w:ascii="Times New Roman" w:hAnsi="Times New Roman" w:eastAsia="宋体" w:cs="宋体"/>
                <w:lang w:val="en-US" w:eastAsia="zh-CN"/>
              </w:rPr>
              <w:t>重要环境因素3项：火灾的发生</w:t>
            </w:r>
            <w:r>
              <w:rPr>
                <w:rFonts w:hint="eastAsia" w:cs="宋体"/>
                <w:lang w:val="en-US" w:eastAsia="zh-CN"/>
              </w:rPr>
              <w:t>、</w:t>
            </w:r>
            <w:r>
              <w:rPr>
                <w:rFonts w:hint="eastAsia" w:ascii="Times New Roman" w:hAnsi="Times New Roman" w:eastAsia="宋体" w:cs="宋体"/>
                <w:lang w:val="en-US" w:eastAsia="zh-CN"/>
              </w:rPr>
              <w:t>固体废弃物排放</w:t>
            </w:r>
            <w:r>
              <w:rPr>
                <w:rFonts w:hint="eastAsia" w:cs="宋体"/>
                <w:lang w:val="en-US" w:eastAsia="zh-CN"/>
              </w:rPr>
              <w:t>、废弃防疫物资（</w:t>
            </w:r>
            <w:r>
              <w:rPr>
                <w:rFonts w:hint="eastAsia" w:ascii="Times New Roman" w:hAnsi="Times New Roman" w:eastAsia="宋体" w:cs="宋体"/>
                <w:lang w:val="en-US" w:eastAsia="zh-CN"/>
              </w:rPr>
              <w:t>一次性口罩、手套、棉签、酒精棉、消毒液包装</w:t>
            </w:r>
            <w:r>
              <w:rPr>
                <w:rFonts w:hint="eastAsia" w:cs="宋体"/>
                <w:lang w:val="en-US" w:eastAsia="zh-CN"/>
              </w:rPr>
              <w:t>）</w:t>
            </w:r>
            <w:r>
              <w:rPr>
                <w:rFonts w:hint="eastAsia" w:ascii="Times New Roman" w:hAnsi="Times New Roman" w:eastAsia="宋体" w:cs="宋体"/>
                <w:lang w:val="en-US" w:eastAsia="zh-CN"/>
              </w:rPr>
              <w:t>的废弃。针对重要环境因素制定了管理方案和控制措施。</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评价符合程序要求及公司的实际情况。</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的危险源辨识、风险评价与控制程序》，对影响职业健康安全的危险源，评价其风险程度及级别，不可接受风险评价的标准和更新的时机,并确定更新不可接受风险因素从而进行有效控制等方面的管理要求进行了规定，满足要求。</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查见《危险源辨识评价表》，</w:t>
            </w:r>
            <w:r>
              <w:rPr>
                <w:rFonts w:hint="eastAsia" w:cs="宋体"/>
                <w:lang w:val="en-US" w:eastAsia="zh-CN"/>
              </w:rPr>
              <w:t>保安服务部识别出危险源</w:t>
            </w:r>
            <w:r>
              <w:rPr>
                <w:rFonts w:hint="eastAsia" w:ascii="Times New Roman" w:hAnsi="Times New Roman" w:eastAsia="宋体" w:cs="宋体"/>
                <w:lang w:val="en-US" w:eastAsia="zh-CN"/>
              </w:rPr>
              <w:t>包括：触电、火灾、</w:t>
            </w:r>
            <w:r>
              <w:rPr>
                <w:rFonts w:hint="eastAsia" w:cs="宋体"/>
                <w:lang w:val="en-US" w:eastAsia="zh-CN"/>
              </w:rPr>
              <w:t>车辆</w:t>
            </w:r>
            <w:r>
              <w:rPr>
                <w:rFonts w:hint="eastAsia" w:ascii="Times New Roman" w:hAnsi="Times New Roman" w:eastAsia="宋体" w:cs="宋体"/>
                <w:lang w:val="en-US" w:eastAsia="zh-CN"/>
              </w:rPr>
              <w:t>伤害</w:t>
            </w:r>
            <w:r>
              <w:rPr>
                <w:rFonts w:hint="eastAsia" w:cs="宋体"/>
                <w:lang w:val="en-US" w:eastAsia="zh-CN"/>
              </w:rPr>
              <w:t>、消杀作业中毒、滑倒摔伤、撞伤、交通事故、高处坠落、物体打击、高处坠物砸伤</w:t>
            </w:r>
            <w:r>
              <w:rPr>
                <w:rFonts w:hint="eastAsia" w:ascii="Times New Roman" w:hAnsi="Times New Roman" w:eastAsia="宋体" w:cs="宋体"/>
                <w:lang w:val="en-US" w:eastAsia="zh-CN"/>
              </w:rPr>
              <w:t>等。</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w:t>
            </w:r>
            <w:r>
              <w:rPr>
                <w:rFonts w:hint="eastAsia" w:cs="宋体"/>
                <w:lang w:val="en-US" w:eastAsia="zh-CN"/>
              </w:rPr>
              <w:t>不可接受风险</w:t>
            </w:r>
            <w:r>
              <w:rPr>
                <w:rFonts w:hint="eastAsia" w:ascii="Times New Roman" w:hAnsi="Times New Roman" w:eastAsia="宋体" w:cs="宋体"/>
                <w:lang w:val="en-US" w:eastAsia="zh-CN"/>
              </w:rPr>
              <w:t>》共识别出不可接受风险</w:t>
            </w:r>
            <w:r>
              <w:rPr>
                <w:rFonts w:hint="eastAsia" w:cs="宋体"/>
                <w:lang w:val="en-US" w:eastAsia="zh-CN"/>
              </w:rPr>
              <w:t>4</w:t>
            </w:r>
            <w:r>
              <w:rPr>
                <w:rFonts w:hint="eastAsia" w:ascii="Times New Roman" w:hAnsi="Times New Roman" w:eastAsia="宋体" w:cs="宋体"/>
                <w:lang w:val="en-US" w:eastAsia="zh-CN"/>
              </w:rPr>
              <w:t>项，涉及：人身伤害</w:t>
            </w:r>
            <w:r>
              <w:rPr>
                <w:rFonts w:hint="eastAsia" w:cs="宋体"/>
                <w:lang w:val="en-US" w:eastAsia="zh-CN"/>
              </w:rPr>
              <w:t>、</w:t>
            </w:r>
            <w:r>
              <w:rPr>
                <w:rFonts w:hint="eastAsia" w:ascii="Times New Roman" w:hAnsi="Times New Roman" w:eastAsia="宋体" w:cs="宋体"/>
                <w:lang w:val="en-US" w:eastAsia="zh-CN"/>
              </w:rPr>
              <w:t>电梯困人</w:t>
            </w:r>
            <w:r>
              <w:rPr>
                <w:rFonts w:hint="eastAsia" w:cs="宋体"/>
                <w:lang w:val="en-US" w:eastAsia="zh-CN"/>
              </w:rPr>
              <w:t>、</w:t>
            </w:r>
            <w:r>
              <w:rPr>
                <w:rFonts w:hint="eastAsia" w:ascii="Times New Roman" w:hAnsi="Times New Roman" w:eastAsia="宋体" w:cs="宋体"/>
                <w:lang w:val="en-US" w:eastAsia="zh-CN"/>
              </w:rPr>
              <w:t>触电、火灾</w:t>
            </w:r>
            <w:r>
              <w:rPr>
                <w:rFonts w:hint="eastAsia" w:cs="宋体"/>
                <w:lang w:val="en-US" w:eastAsia="zh-CN"/>
              </w:rPr>
              <w:t>、</w:t>
            </w:r>
            <w:r>
              <w:rPr>
                <w:rFonts w:hint="eastAsia" w:ascii="Times New Roman" w:hAnsi="Times New Roman" w:eastAsia="宋体" w:cs="宋体"/>
                <w:lang w:val="en-US" w:eastAsia="zh-CN"/>
              </w:rPr>
              <w:t>新冠病毒感染，评价符合程序要求及公司的实际情况。对危险源的控制措施包括配置所需设备并定期维护，制定管理制度、监督检查、应急预案、培训等。</w:t>
            </w:r>
          </w:p>
        </w:tc>
        <w:tc>
          <w:tcPr>
            <w:tcW w:w="834" w:type="dxa"/>
            <w:vAlign w:val="top"/>
          </w:tcPr>
          <w:p>
            <w:pPr>
              <w:rPr>
                <w:rFonts w:hint="default"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7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110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w:t>
            </w:r>
            <w:r>
              <w:rPr>
                <w:rFonts w:hint="eastAsia" w:cs="宋体"/>
                <w:lang w:val="en-US" w:eastAsia="zh-CN"/>
              </w:rPr>
              <w:t>O</w:t>
            </w:r>
            <w:r>
              <w:rPr>
                <w:rFonts w:hint="eastAsia" w:ascii="Times New Roman" w:hAnsi="Times New Roman" w:eastAsia="宋体" w:cs="宋体"/>
                <w:lang w:val="en-US" w:eastAsia="zh-CN"/>
              </w:rPr>
              <w:t>8.1</w:t>
            </w:r>
          </w:p>
          <w:p>
            <w:pPr>
              <w:rPr>
                <w:rFonts w:hint="default" w:ascii="Times New Roman" w:hAnsi="Times New Roman" w:eastAsia="宋体" w:cs="宋体"/>
                <w:lang w:val="en-US" w:eastAsia="zh-CN"/>
              </w:rPr>
            </w:pPr>
          </w:p>
        </w:tc>
        <w:tc>
          <w:tcPr>
            <w:tcW w:w="1120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●本部门需执行的文件有：环境管理体系运行控制程序</w:t>
            </w:r>
            <w:r>
              <w:rPr>
                <w:rFonts w:hint="eastAsia" w:cs="宋体"/>
                <w:lang w:val="en-US" w:eastAsia="zh-CN"/>
              </w:rPr>
              <w:t>、</w:t>
            </w:r>
            <w:r>
              <w:rPr>
                <w:rFonts w:hint="eastAsia" w:ascii="Times New Roman" w:hAnsi="Times New Roman" w:eastAsia="宋体" w:cs="宋体"/>
                <w:lang w:val="en-US" w:eastAsia="zh-CN"/>
              </w:rPr>
              <w:t>职业健康安全运行控制程序</w:t>
            </w:r>
            <w:r>
              <w:rPr>
                <w:rFonts w:hint="eastAsia" w:cs="宋体"/>
                <w:lang w:val="en-US" w:eastAsia="zh-CN"/>
              </w:rPr>
              <w:t>、环境、职业健康安全应急预案、巡查管理规定、警卫室管理制度</w:t>
            </w:r>
            <w:r>
              <w:rPr>
                <w:rFonts w:hint="eastAsia" w:ascii="Times New Roman" w:hAnsi="Times New Roman" w:eastAsia="宋体" w:cs="宋体"/>
                <w:lang w:val="en-US" w:eastAsia="zh-CN"/>
              </w:rPr>
              <w:t>等。</w:t>
            </w:r>
          </w:p>
          <w:p>
            <w:pPr>
              <w:rPr>
                <w:rFonts w:hint="eastAsia" w:cs="宋体"/>
                <w:lang w:val="en-US" w:eastAsia="zh-CN"/>
              </w:rPr>
            </w:pPr>
            <w:r>
              <w:rPr>
                <w:rFonts w:hint="eastAsia" w:cs="宋体"/>
                <w:lang w:val="en-US" w:eastAsia="zh-CN"/>
              </w:rPr>
              <w:t>查看运行控制情况：</w:t>
            </w:r>
          </w:p>
          <w:p>
            <w:pPr>
              <w:rPr>
                <w:rFonts w:hint="default" w:cs="宋体"/>
                <w:lang w:val="en-US" w:eastAsia="zh-CN"/>
              </w:rPr>
            </w:pPr>
            <w:r>
              <w:rPr>
                <w:rFonts w:hint="eastAsia" w:cs="宋体"/>
                <w:lang w:val="en-US" w:eastAsia="zh-CN"/>
              </w:rPr>
              <w:t>1、总部管理人员</w:t>
            </w:r>
            <w:r>
              <w:rPr>
                <w:rFonts w:hint="eastAsia" w:ascii="Times New Roman" w:hAnsi="Times New Roman" w:eastAsia="宋体" w:cs="宋体"/>
                <w:lang w:val="en-US" w:eastAsia="zh-CN"/>
              </w:rPr>
              <w:t>工作时间平均每天不超过8小时</w:t>
            </w:r>
            <w:r>
              <w:rPr>
                <w:rFonts w:hint="eastAsia" w:ascii="Times New Roman" w:hAnsi="Times New Roman" w:cs="宋体"/>
                <w:lang w:val="en-US" w:eastAsia="zh-CN"/>
              </w:rPr>
              <w:t>；</w:t>
            </w:r>
            <w:r>
              <w:rPr>
                <w:rFonts w:hint="eastAsia" w:cs="宋体"/>
                <w:lang w:val="en-US" w:eastAsia="zh-CN"/>
              </w:rPr>
              <w:t>现场巡视鸿锐花园小区项目，本项目设有保安人员8人，现场</w:t>
            </w:r>
            <w:r>
              <w:rPr>
                <w:rFonts w:hint="eastAsia" w:ascii="Times New Roman" w:hAnsi="Times New Roman" w:cs="宋体"/>
                <w:lang w:val="en-US" w:eastAsia="zh-CN"/>
              </w:rPr>
              <w:t>人员工作时间</w:t>
            </w:r>
            <w:r>
              <w:rPr>
                <w:rFonts w:hint="eastAsia" w:cs="宋体"/>
                <w:lang w:val="en-US" w:eastAsia="zh-CN"/>
              </w:rPr>
              <w:t>按甲方要求</w:t>
            </w:r>
            <w:r>
              <w:rPr>
                <w:rFonts w:hint="eastAsia" w:ascii="Times New Roman" w:hAnsi="Times New Roman" w:cs="宋体"/>
                <w:lang w:val="en-US" w:eastAsia="zh-CN"/>
              </w:rPr>
              <w:t>，</w:t>
            </w:r>
            <w:r>
              <w:rPr>
                <w:rFonts w:hint="eastAsia" w:cs="宋体"/>
                <w:lang w:val="en-US" w:eastAsia="zh-CN"/>
              </w:rPr>
              <w:t>实行4班3倒；人员</w:t>
            </w:r>
            <w:r>
              <w:rPr>
                <w:rFonts w:hint="eastAsia" w:ascii="Times New Roman" w:hAnsi="Times New Roman" w:cs="宋体"/>
                <w:lang w:val="en-US" w:eastAsia="zh-CN"/>
              </w:rPr>
              <w:t>固定班次；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2、废水</w:t>
            </w:r>
            <w:r>
              <w:rPr>
                <w:rFonts w:hint="eastAsia" w:cs="宋体"/>
                <w:lang w:val="en-US" w:eastAsia="zh-CN"/>
              </w:rPr>
              <w:t>：</w:t>
            </w:r>
            <w:r>
              <w:rPr>
                <w:rFonts w:hint="eastAsia" w:ascii="Times New Roman" w:hAnsi="Times New Roman" w:eastAsia="宋体" w:cs="宋体"/>
                <w:lang w:val="en-US" w:eastAsia="zh-CN"/>
              </w:rPr>
              <w:t>公司的的</w:t>
            </w:r>
            <w:r>
              <w:rPr>
                <w:rFonts w:hint="eastAsia" w:cs="宋体"/>
                <w:lang w:val="en-US" w:eastAsia="zh-CN"/>
              </w:rPr>
              <w:t>保安服务过程</w:t>
            </w:r>
            <w:r>
              <w:rPr>
                <w:rFonts w:hint="eastAsia" w:ascii="Times New Roman" w:hAnsi="Times New Roman" w:eastAsia="宋体" w:cs="宋体"/>
                <w:lang w:val="en-US" w:eastAsia="zh-CN"/>
              </w:rPr>
              <w:t>不产生废水，</w:t>
            </w:r>
            <w:r>
              <w:rPr>
                <w:rFonts w:hint="eastAsia" w:cs="宋体"/>
                <w:lang w:val="en-US" w:eastAsia="zh-CN"/>
              </w:rPr>
              <w:t>生活污水</w:t>
            </w:r>
            <w:r>
              <w:rPr>
                <w:rFonts w:hint="eastAsia" w:ascii="Times New Roman" w:hAnsi="Times New Roman" w:eastAsia="宋体" w:cs="宋体"/>
                <w:lang w:val="en-US" w:eastAsia="zh-CN"/>
              </w:rPr>
              <w:t>排入市政管网</w:t>
            </w:r>
            <w:r>
              <w:rPr>
                <w:rFonts w:hint="eastAsia" w:cs="宋体"/>
                <w:lang w:val="en-US" w:eastAsia="zh-CN"/>
              </w:rPr>
              <w:t>，清洁用水用于小区绿化</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3、废气</w:t>
            </w:r>
            <w:r>
              <w:rPr>
                <w:rFonts w:hint="eastAsia" w:cs="宋体"/>
                <w:lang w:val="en-US" w:eastAsia="zh-CN"/>
              </w:rPr>
              <w:t>：保安服务过程</w:t>
            </w:r>
            <w:r>
              <w:rPr>
                <w:rFonts w:hint="eastAsia" w:ascii="Times New Roman" w:hAnsi="Times New Roman" w:eastAsia="宋体" w:cs="宋体"/>
                <w:lang w:val="en-US" w:eastAsia="zh-CN"/>
              </w:rPr>
              <w:t>不产生废气，</w:t>
            </w:r>
            <w:r>
              <w:rPr>
                <w:rFonts w:hint="eastAsia" w:cs="宋体"/>
                <w:lang w:val="en-US" w:eastAsia="zh-CN"/>
              </w:rPr>
              <w:t>进行清洁清扫时</w:t>
            </w:r>
            <w:r>
              <w:rPr>
                <w:rFonts w:hint="eastAsia" w:ascii="Times New Roman" w:hAnsi="Times New Roman" w:eastAsia="宋体" w:cs="宋体"/>
                <w:lang w:val="en-US" w:eastAsia="zh-CN"/>
              </w:rPr>
              <w:t>，有</w:t>
            </w:r>
            <w:r>
              <w:rPr>
                <w:rFonts w:hint="eastAsia" w:cs="宋体"/>
                <w:lang w:val="en-US" w:eastAsia="zh-CN"/>
              </w:rPr>
              <w:t>极</w:t>
            </w:r>
            <w:r>
              <w:rPr>
                <w:rFonts w:hint="eastAsia" w:ascii="Times New Roman" w:hAnsi="Times New Roman" w:eastAsia="宋体" w:cs="宋体"/>
                <w:lang w:val="en-US" w:eastAsia="zh-CN"/>
              </w:rPr>
              <w:t>少量的灰尘产生，公司发</w:t>
            </w:r>
            <w:r>
              <w:rPr>
                <w:rFonts w:hint="eastAsia" w:cs="宋体"/>
                <w:lang w:val="en-US" w:eastAsia="zh-CN"/>
              </w:rPr>
              <w:t>放</w:t>
            </w:r>
            <w:r>
              <w:rPr>
                <w:rFonts w:hint="eastAsia" w:ascii="Times New Roman" w:hAnsi="Times New Roman" w:eastAsia="宋体" w:cs="宋体"/>
                <w:lang w:val="en-US" w:eastAsia="zh-CN"/>
              </w:rPr>
              <w:t>口罩，对员工进行个体防护</w:t>
            </w:r>
            <w:r>
              <w:rPr>
                <w:rFonts w:hint="eastAsia" w:cs="宋体"/>
                <w:lang w:val="en-US" w:eastAsia="zh-CN"/>
              </w:rPr>
              <w:t>。</w:t>
            </w:r>
          </w:p>
          <w:p>
            <w:pPr>
              <w:rPr>
                <w:rFonts w:hint="eastAsia" w:ascii="Times New Roman" w:hAnsi="Times New Roman" w:eastAsia="宋体" w:cs="宋体"/>
                <w:lang w:val="en-US" w:eastAsia="zh-CN"/>
              </w:rPr>
            </w:pPr>
            <w:r>
              <w:rPr>
                <w:rFonts w:hint="eastAsia" w:cs="宋体"/>
                <w:lang w:val="en-US" w:eastAsia="zh-CN"/>
              </w:rPr>
              <w:t>4、</w:t>
            </w:r>
            <w:r>
              <w:rPr>
                <w:rFonts w:hint="eastAsia" w:ascii="Times New Roman" w:hAnsi="Times New Roman" w:eastAsia="宋体" w:cs="宋体"/>
                <w:lang w:val="en-US" w:eastAsia="zh-CN"/>
              </w:rPr>
              <w:t>固废</w:t>
            </w:r>
            <w:r>
              <w:rPr>
                <w:rFonts w:hint="eastAsia" w:cs="宋体"/>
                <w:lang w:val="en-US" w:eastAsia="zh-CN"/>
              </w:rPr>
              <w:t>：保安服务过程中</w:t>
            </w:r>
            <w:r>
              <w:rPr>
                <w:rFonts w:hint="eastAsia" w:ascii="Times New Roman" w:hAnsi="Times New Roman" w:eastAsia="宋体" w:cs="宋体"/>
                <w:lang w:val="en-US" w:eastAsia="zh-CN"/>
              </w:rPr>
              <w:t>产生</w:t>
            </w:r>
            <w:r>
              <w:rPr>
                <w:rFonts w:hint="eastAsia" w:cs="宋体"/>
                <w:lang w:val="en-US" w:eastAsia="zh-CN"/>
              </w:rPr>
              <w:t>的废弃</w:t>
            </w:r>
            <w:r>
              <w:rPr>
                <w:rFonts w:hint="eastAsia" w:ascii="Times New Roman" w:hAnsi="Times New Roman" w:eastAsia="宋体" w:cs="宋体"/>
                <w:lang w:val="en-US" w:eastAsia="zh-CN"/>
              </w:rPr>
              <w:t>的</w:t>
            </w:r>
            <w:r>
              <w:rPr>
                <w:rFonts w:hint="eastAsia" w:cs="宋体"/>
                <w:lang w:val="en-US" w:eastAsia="zh-CN"/>
              </w:rPr>
              <w:t>办公垃圾、生活</w:t>
            </w:r>
            <w:r>
              <w:rPr>
                <w:rFonts w:hint="eastAsia" w:ascii="Times New Roman" w:hAnsi="Times New Roman" w:eastAsia="宋体" w:cs="宋体"/>
                <w:lang w:val="en-US" w:eastAsia="zh-CN"/>
              </w:rPr>
              <w:t>垃圾</w:t>
            </w:r>
            <w:r>
              <w:rPr>
                <w:rFonts w:hint="eastAsia" w:cs="宋体"/>
                <w:lang w:val="en-US" w:eastAsia="zh-CN"/>
              </w:rPr>
              <w:t>、建筑垃圾、防疫物资等，分类处理，垃圾每天由甲方物业统一清理</w:t>
            </w:r>
            <w:r>
              <w:rPr>
                <w:rFonts w:hint="eastAsia" w:ascii="Times New Roman" w:hAnsi="Times New Roman" w:eastAsia="宋体" w:cs="宋体"/>
                <w:lang w:val="en-US" w:eastAsia="zh-CN"/>
              </w:rPr>
              <w:t>。</w:t>
            </w:r>
            <w:r>
              <w:rPr>
                <w:rFonts w:hint="eastAsia" w:cs="宋体"/>
                <w:lang w:val="en-US" w:eastAsia="zh-CN"/>
              </w:rPr>
              <w:t>无危废产生；</w:t>
            </w:r>
          </w:p>
          <w:p>
            <w:pPr>
              <w:rPr>
                <w:rFonts w:hint="eastAsia" w:ascii="Times New Roman" w:hAnsi="Times New Roman" w:eastAsia="宋体" w:cs="宋体"/>
                <w:lang w:val="en-US" w:eastAsia="zh-CN"/>
              </w:rPr>
            </w:pPr>
            <w:r>
              <w:rPr>
                <w:rFonts w:hint="eastAsia" w:cs="宋体"/>
                <w:lang w:val="en-US" w:eastAsia="zh-CN"/>
              </w:rPr>
              <w:t>5、节约能源</w:t>
            </w:r>
            <w:r>
              <w:rPr>
                <w:rFonts w:hint="eastAsia" w:ascii="Times New Roman" w:hAnsi="Times New Roman" w:eastAsia="宋体" w:cs="宋体"/>
                <w:lang w:val="en-US" w:eastAsia="zh-CN"/>
              </w:rPr>
              <w:t>：公司规定人走灯灭，人走关水等节能节水措施，并互相监督</w:t>
            </w:r>
            <w:r>
              <w:rPr>
                <w:rFonts w:hint="eastAsia"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6、查看办公区域，整洁、光线充足、室内空气良好、配置有空调，办公条件较好，办公设备安全状态良好，教育员工正确使用办公设备，现场用电基本规范，无乱拉线现象，防止火灾发生。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7、相关方施加影响：公司能够控制或能够施加影响的相关方有顾客等。提供了“</w:t>
            </w:r>
            <w:r>
              <w:rPr>
                <w:rFonts w:hint="eastAsia" w:cs="宋体"/>
                <w:lang w:val="en-US" w:eastAsia="zh-CN"/>
              </w:rPr>
              <w:t>相关方告知</w:t>
            </w:r>
            <w:r>
              <w:rPr>
                <w:rFonts w:hint="eastAsia" w:ascii="Times New Roman" w:hAnsi="Times New Roman" w:eastAsia="宋体" w:cs="宋体"/>
                <w:lang w:val="en-US" w:eastAsia="zh-CN"/>
              </w:rPr>
              <w:t>”，将公司的环境/安全控制要求发放到了所有相关方:</w:t>
            </w:r>
            <w:r>
              <w:rPr>
                <w:rFonts w:hint="eastAsia" w:cs="宋体"/>
                <w:lang w:val="en-US" w:eastAsia="zh-CN"/>
              </w:rPr>
              <w:t>甲方</w:t>
            </w:r>
            <w:r>
              <w:rPr>
                <w:rFonts w:hint="eastAsia" w:ascii="Times New Roman" w:hAnsi="Times New Roman" w:eastAsia="宋体" w:cs="宋体"/>
                <w:lang w:val="en-US" w:eastAsia="zh-CN"/>
              </w:rPr>
              <w:t>\外来</w:t>
            </w:r>
            <w:r>
              <w:rPr>
                <w:rFonts w:hint="eastAsia" w:ascii="Times New Roman" w:hAnsi="Times New Roman" w:cs="宋体"/>
                <w:lang w:val="en-US" w:eastAsia="zh-CN"/>
              </w:rPr>
              <w:t>人员</w:t>
            </w:r>
            <w:r>
              <w:rPr>
                <w:rFonts w:hint="eastAsia" w:ascii="Times New Roman" w:hAnsi="Times New Roman" w:eastAsia="宋体" w:cs="宋体"/>
                <w:lang w:val="en-US" w:eastAsia="zh-CN"/>
              </w:rPr>
              <w:t>\</w:t>
            </w:r>
            <w:r>
              <w:rPr>
                <w:rFonts w:hint="eastAsia" w:ascii="Times New Roman" w:hAnsi="Times New Roman" w:cs="宋体"/>
                <w:lang w:val="en-US" w:eastAsia="zh-CN"/>
              </w:rPr>
              <w:t>业主</w:t>
            </w:r>
            <w:r>
              <w:rPr>
                <w:rFonts w:hint="eastAsia" w:ascii="Times New Roman" w:hAnsi="Times New Roman" w:eastAsia="宋体" w:cs="宋体"/>
                <w:lang w:val="en-US" w:eastAsia="zh-CN"/>
              </w:rPr>
              <w:t>等</w:t>
            </w:r>
            <w:r>
              <w:rPr>
                <w:rFonts w:hint="eastAsia"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8、公司给员工</w:t>
            </w:r>
            <w:r>
              <w:rPr>
                <w:rFonts w:hint="eastAsia" w:cs="宋体"/>
                <w:lang w:val="en-US" w:eastAsia="zh-CN"/>
              </w:rPr>
              <w:t>缴纳了</w:t>
            </w:r>
            <w:r>
              <w:rPr>
                <w:rFonts w:hint="eastAsia" w:ascii="Times New Roman" w:hAnsi="Times New Roman" w:eastAsia="宋体" w:cs="宋体"/>
                <w:lang w:val="en-US" w:eastAsia="zh-CN"/>
              </w:rPr>
              <w:t>社保，</w:t>
            </w:r>
            <w:r>
              <w:rPr>
                <w:rFonts w:hint="eastAsia" w:cs="宋体"/>
                <w:lang w:val="en-US" w:eastAsia="zh-CN"/>
              </w:rPr>
              <w:t>每年安排一线员工体检</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9、驾驶员要求遵守道路交通安全法规，不违章驾车，驾驶证和车辆定期年审，确保行车安全。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10、火灾控制:（1）</w:t>
            </w:r>
            <w:r>
              <w:rPr>
                <w:rFonts w:hint="eastAsia" w:cs="宋体"/>
                <w:lang w:val="en-US" w:eastAsia="zh-CN"/>
              </w:rPr>
              <w:t>办公楼</w:t>
            </w:r>
            <w:r>
              <w:rPr>
                <w:rFonts w:hint="eastAsia" w:ascii="Times New Roman" w:hAnsi="Times New Roman" w:eastAsia="宋体" w:cs="宋体"/>
                <w:lang w:val="en-US" w:eastAsia="zh-CN"/>
              </w:rPr>
              <w:t>配置有相应数量的灭火器和消防栓，</w:t>
            </w:r>
            <w:r>
              <w:rPr>
                <w:rFonts w:hint="eastAsia" w:cs="宋体"/>
                <w:lang w:val="en-US" w:eastAsia="zh-CN"/>
              </w:rPr>
              <w:t>由凯莱金第物业统一维护</w:t>
            </w:r>
            <w:r>
              <w:rPr>
                <w:rFonts w:hint="eastAsia" w:ascii="Times New Roman" w:hAnsi="Times New Roman" w:eastAsia="宋体" w:cs="宋体"/>
                <w:lang w:val="en-US" w:eastAsia="zh-CN"/>
              </w:rPr>
              <w:t>;（2）</w:t>
            </w:r>
            <w:r>
              <w:rPr>
                <w:rFonts w:hint="eastAsia" w:cs="宋体"/>
                <w:lang w:val="en-US" w:eastAsia="zh-CN"/>
              </w:rPr>
              <w:t>保安服务项目现场，由甲方物业配置响应的灭火器，保安定期巡视，发现隐患及时处理</w:t>
            </w:r>
            <w:r>
              <w:rPr>
                <w:rFonts w:hint="eastAsia" w:ascii="Times New Roman" w:hAnsi="Times New Roman" w:eastAsia="宋体" w:cs="宋体"/>
                <w:lang w:val="en-US" w:eastAsia="zh-CN"/>
              </w:rPr>
              <w:t>。</w:t>
            </w:r>
            <w:r>
              <w:rPr>
                <w:rFonts w:hint="eastAsia" w:cs="宋体"/>
                <w:lang w:val="en-US" w:eastAsia="zh-CN"/>
              </w:rPr>
              <w:t>定期对员工进行消防安全教育，组织进行了消防演练；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11.触电管理：随时对</w:t>
            </w:r>
            <w:r>
              <w:rPr>
                <w:rFonts w:hint="eastAsia" w:cs="宋体"/>
                <w:lang w:val="en-US" w:eastAsia="zh-CN"/>
              </w:rPr>
              <w:t>办公和小区内各</w:t>
            </w:r>
            <w:r>
              <w:rPr>
                <w:rFonts w:hint="eastAsia" w:ascii="Times New Roman" w:hAnsi="Times New Roman" w:eastAsia="宋体" w:cs="宋体"/>
                <w:lang w:val="en-US" w:eastAsia="zh-CN"/>
              </w:rPr>
              <w:t>电气线路进行检查，防止因</w:t>
            </w:r>
            <w:r>
              <w:rPr>
                <w:rFonts w:hint="eastAsia" w:cs="宋体"/>
                <w:lang w:val="en-US" w:eastAsia="zh-CN"/>
              </w:rPr>
              <w:t>乱接、</w:t>
            </w:r>
            <w:r>
              <w:rPr>
                <w:rFonts w:hint="eastAsia" w:ascii="Times New Roman" w:hAnsi="Times New Roman" w:eastAsia="宋体" w:cs="宋体"/>
                <w:lang w:val="en-US" w:eastAsia="zh-CN"/>
              </w:rPr>
              <w:t>短路、过载和接触电阻过大等原因产生电火花或引起电线电缆温度过高而引发火灾。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12、意外伤害控制：工作时间不吸烟喝酒、不酒后驾车等</w:t>
            </w:r>
            <w:r>
              <w:rPr>
                <w:rFonts w:hint="eastAsia" w:ascii="Times New Roman" w:hAnsi="Times New Roman" w:cs="宋体"/>
                <w:lang w:val="en-US" w:eastAsia="zh-CN"/>
              </w:rPr>
              <w:t>；</w:t>
            </w:r>
            <w:r>
              <w:rPr>
                <w:rFonts w:hint="eastAsia" w:ascii="Times New Roman" w:hAnsi="Times New Roman" w:eastAsia="宋体" w:cs="宋体"/>
                <w:lang w:val="en-US" w:eastAsia="zh-CN"/>
              </w:rPr>
              <w:t>对员工开展安全教育</w:t>
            </w:r>
            <w:r>
              <w:rPr>
                <w:rFonts w:hint="eastAsia" w:ascii="Times New Roman" w:hAnsi="Times New Roman" w:cs="宋体"/>
                <w:lang w:val="en-US" w:eastAsia="zh-CN"/>
              </w:rPr>
              <w:t>；</w:t>
            </w:r>
            <w:r>
              <w:rPr>
                <w:rFonts w:hint="eastAsia" w:cs="宋体"/>
                <w:lang w:val="en-US" w:eastAsia="zh-CN"/>
              </w:rPr>
              <w:t>保安人员配备了相应的安保设备，如：橡胶棒、防刺服、防刺手套等，严格遵守“巡查管理规定”“警卫室管理制度”等安保制度的要求进行巡逻、秩序维护等工作</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13、公司定期巡视安保服务项目现场，检查服务人员着装、出勤、个人防护等情况；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14、建立了疫情防控值班表，严格落实各项防疫政策，公司人员佩戴口罩，保持人与人之间的距离，保安负责进入小区人员登记测温等工作，</w:t>
            </w:r>
            <w:r>
              <w:rPr>
                <w:rFonts w:hint="eastAsia" w:cs="宋体"/>
                <w:lang w:val="en-US" w:eastAsia="zh-CN"/>
              </w:rPr>
              <w:t>安保人员工作中严格注意自身防护，全程佩戴口罩；</w:t>
            </w:r>
            <w:r>
              <w:rPr>
                <w:rFonts w:hint="eastAsia" w:ascii="Times New Roman" w:hAnsi="Times New Roman" w:eastAsia="宋体" w:cs="宋体"/>
                <w:lang w:val="en-US" w:eastAsia="zh-CN"/>
              </w:rPr>
              <w:t>小区公共区域</w:t>
            </w:r>
            <w:r>
              <w:rPr>
                <w:rFonts w:hint="eastAsia" w:cs="宋体"/>
                <w:lang w:val="en-US" w:eastAsia="zh-CN"/>
              </w:rPr>
              <w:t>由物业负责</w:t>
            </w:r>
            <w:r>
              <w:rPr>
                <w:rFonts w:hint="eastAsia" w:ascii="Times New Roman" w:hAnsi="Times New Roman" w:eastAsia="宋体" w:cs="宋体"/>
                <w:lang w:val="en-US" w:eastAsia="zh-CN"/>
              </w:rPr>
              <w:t>定时消杀。</w:t>
            </w:r>
          </w:p>
          <w:p>
            <w:pPr>
              <w:rPr>
                <w:rFonts w:hint="default" w:ascii="Times New Roman" w:hAnsi="Times New Roman" w:eastAsia="宋体" w:cs="宋体"/>
                <w:lang w:val="en-US" w:eastAsia="zh-CN"/>
              </w:rPr>
            </w:pPr>
            <w:r>
              <w:rPr>
                <w:rFonts w:hint="eastAsia" w:ascii="Times New Roman" w:hAnsi="Times New Roman" w:cs="宋体"/>
                <w:lang w:val="en-US" w:eastAsia="zh-CN"/>
              </w:rPr>
              <w:t>15、现场巡视鸿锐花园小区，门卫室张贴有消防管理制度、车辆出入管理制度等，张贴了禁止吸烟标识，安保人员正在进行来访车辆核查，小区出入人员测温扫码等工作；</w:t>
            </w:r>
            <w:r>
              <w:rPr>
                <w:rFonts w:hint="eastAsia" w:cs="宋体"/>
                <w:lang w:val="en-US" w:eastAsia="zh-CN"/>
              </w:rPr>
              <w:t>门卫室配备了消毒液、酒精、口罩、工装、安全防护设施。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运行符合要求。</w:t>
            </w:r>
          </w:p>
        </w:tc>
        <w:tc>
          <w:tcPr>
            <w:tcW w:w="834" w:type="dxa"/>
            <w:vAlign w:val="top"/>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7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1100"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EO8.2</w:t>
            </w:r>
          </w:p>
        </w:tc>
        <w:tc>
          <w:tcPr>
            <w:tcW w:w="11205" w:type="dxa"/>
            <w:vAlign w:val="center"/>
          </w:tcPr>
          <w:p>
            <w:pPr>
              <w:rPr>
                <w:rFonts w:hint="eastAsia"/>
                <w:lang w:eastAsia="zh-CN"/>
              </w:rPr>
            </w:pPr>
            <w:r>
              <w:rPr>
                <w:rFonts w:hint="eastAsia"/>
                <w:lang w:eastAsia="zh-CN"/>
              </w:rPr>
              <w:t>执行《</w:t>
            </w:r>
            <w:r>
              <w:rPr>
                <w:rFonts w:hint="eastAsia"/>
              </w:rPr>
              <w:t>应急准备和响应控制程序</w:t>
            </w:r>
            <w:r>
              <w:rPr>
                <w:rFonts w:hint="eastAsia"/>
                <w:lang w:eastAsia="zh-CN"/>
              </w:rPr>
              <w:t>》。针对识别出的紧急情况制定了《环境、职业健康安全应急预案》。</w:t>
            </w:r>
          </w:p>
          <w:p>
            <w:pPr>
              <w:pStyle w:val="16"/>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202</w:t>
            </w:r>
            <w:r>
              <w:rPr>
                <w:rFonts w:hint="eastAsia" w:cs="宋体"/>
                <w:bCs w:val="0"/>
                <w:spacing w:val="0"/>
                <w:kern w:val="2"/>
                <w:sz w:val="21"/>
                <w:lang w:val="en-US" w:eastAsia="zh-CN" w:bidi="ar-SA"/>
              </w:rPr>
              <w:t>2年2月22日，保安服务部</w:t>
            </w:r>
            <w:r>
              <w:rPr>
                <w:rFonts w:hint="eastAsia" w:ascii="Times New Roman" w:hAnsi="Times New Roman" w:cs="宋体"/>
                <w:bCs w:val="0"/>
                <w:spacing w:val="0"/>
                <w:kern w:val="2"/>
                <w:sz w:val="21"/>
                <w:lang w:val="en-US" w:eastAsia="zh-CN" w:bidi="ar-SA"/>
              </w:rPr>
              <w:t>于</w:t>
            </w:r>
            <w:r>
              <w:rPr>
                <w:rFonts w:hint="eastAsia" w:ascii="Times New Roman" w:hAnsi="Times New Roman" w:eastAsia="宋体" w:cs="宋体"/>
                <w:bCs w:val="0"/>
                <w:spacing w:val="0"/>
                <w:kern w:val="2"/>
                <w:sz w:val="21"/>
                <w:lang w:val="en-US" w:eastAsia="zh-CN" w:bidi="ar-SA"/>
              </w:rPr>
              <w:t>在项目现场进行了触电演练，</w:t>
            </w:r>
          </w:p>
          <w:p>
            <w:pPr>
              <w:pStyle w:val="16"/>
              <w:rPr>
                <w:rFonts w:hint="eastAsia" w:ascii="Times New Roman" w:hAnsi="Times New Roman" w:cs="宋体"/>
                <w:bCs w:val="0"/>
                <w:spacing w:val="0"/>
                <w:kern w:val="2"/>
                <w:sz w:val="21"/>
                <w:lang w:val="en-US" w:eastAsia="zh-CN" w:bidi="ar-SA"/>
              </w:rPr>
            </w:pPr>
            <w:r>
              <w:rPr>
                <w:rFonts w:hint="eastAsia" w:ascii="Times New Roman" w:hAnsi="Times New Roman" w:cs="宋体"/>
                <w:bCs w:val="0"/>
                <w:spacing w:val="0"/>
                <w:kern w:val="2"/>
                <w:sz w:val="21"/>
                <w:lang w:val="en-US" w:eastAsia="zh-CN" w:bidi="ar-SA"/>
              </w:rPr>
              <w:t>查看提供的应急演练记录，有演练时间、地点、事故发生的原因，处置记录，演练结束后对演练过程和应急预案进行了评审，应急演练程序有效，公司的应急预案满足要求。</w:t>
            </w:r>
          </w:p>
          <w:p>
            <w:pPr>
              <w:pStyle w:val="16"/>
              <w:rPr>
                <w:rFonts w:hint="eastAsia" w:ascii="Times New Roman" w:hAnsi="Times New Roman" w:cs="宋体"/>
                <w:bCs w:val="0"/>
                <w:spacing w:val="0"/>
                <w:kern w:val="2"/>
                <w:sz w:val="21"/>
                <w:lang w:val="en-US" w:eastAsia="zh-CN" w:bidi="ar-SA"/>
              </w:rPr>
            </w:pPr>
            <w:r>
              <w:rPr>
                <w:rFonts w:hint="eastAsia" w:ascii="Times New Roman" w:hAnsi="Times New Roman" w:cs="宋体"/>
                <w:bCs w:val="0"/>
                <w:spacing w:val="0"/>
                <w:kern w:val="2"/>
                <w:sz w:val="21"/>
                <w:lang w:val="en-US" w:eastAsia="zh-CN" w:bidi="ar-SA"/>
              </w:rPr>
              <w:t>具体记录见人事部记录。</w:t>
            </w:r>
          </w:p>
          <w:p>
            <w:pPr>
              <w:pStyle w:val="16"/>
              <w:rPr>
                <w:rFonts w:hint="default" w:ascii="Times New Roman" w:hAnsi="Times New Roman" w:cs="宋体"/>
                <w:bCs w:val="0"/>
                <w:spacing w:val="0"/>
                <w:kern w:val="2"/>
                <w:sz w:val="21"/>
                <w:lang w:val="en-US" w:eastAsia="zh-CN" w:bidi="ar-SA"/>
              </w:rPr>
            </w:pPr>
            <w:r>
              <w:rPr>
                <w:rFonts w:hint="eastAsia" w:ascii="Times New Roman" w:hAnsi="Times New Roman" w:cs="宋体"/>
                <w:bCs w:val="0"/>
                <w:spacing w:val="0"/>
                <w:kern w:val="2"/>
                <w:sz w:val="21"/>
                <w:lang w:val="en-US" w:eastAsia="zh-CN" w:bidi="ar-SA"/>
              </w:rPr>
              <w:t>但现场审核发现，</w:t>
            </w:r>
            <w:r>
              <w:rPr>
                <w:rFonts w:hint="eastAsia" w:ascii="Times New Roman" w:hAnsi="Times New Roman" w:cs="宋体"/>
                <w:bCs w:val="0"/>
                <w:color w:val="0000FF"/>
                <w:spacing w:val="0"/>
                <w:kern w:val="2"/>
                <w:sz w:val="21"/>
                <w:lang w:val="en-US" w:eastAsia="zh-CN" w:bidi="ar-SA"/>
              </w:rPr>
              <w:t>公司识别的不可接受风险包括新冠病毒感染，并制定了相应的目标管理方案——杜绝传染病，制定重大传染病应急预案，现场未能提供相关的应急预案。</w:t>
            </w:r>
            <w:r>
              <w:rPr>
                <w:rFonts w:hint="eastAsia" w:cs="宋体"/>
                <w:bCs w:val="0"/>
                <w:color w:val="0000FF"/>
                <w:spacing w:val="0"/>
                <w:kern w:val="2"/>
                <w:sz w:val="21"/>
                <w:lang w:val="en-US" w:eastAsia="zh-CN" w:bidi="ar-SA"/>
              </w:rPr>
              <w:t>--不符合</w:t>
            </w:r>
            <w:r>
              <w:rPr>
                <w:rFonts w:hint="eastAsia" w:cs="宋体"/>
                <w:bCs w:val="0"/>
                <w:spacing w:val="0"/>
                <w:kern w:val="2"/>
                <w:sz w:val="21"/>
                <w:lang w:val="en-US" w:eastAsia="zh-CN" w:bidi="ar-SA"/>
              </w:rPr>
              <w:t>。</w:t>
            </w:r>
          </w:p>
        </w:tc>
        <w:tc>
          <w:tcPr>
            <w:tcW w:w="834" w:type="dxa"/>
            <w:vAlign w:val="top"/>
          </w:tcPr>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default" w:ascii="Times New Roman" w:hAnsi="Times New Roman" w:eastAsia="宋体" w:cs="宋体"/>
                <w:lang w:val="en-US" w:eastAsia="zh-CN"/>
              </w:rPr>
            </w:pPr>
            <w:r>
              <w:rPr>
                <w:rFonts w:hint="eastAsia"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7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监视和测量总则</w:t>
            </w:r>
          </w:p>
        </w:tc>
        <w:tc>
          <w:tcPr>
            <w:tcW w:w="110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w:t>
            </w:r>
            <w:bookmarkStart w:id="0" w:name="_GoBack"/>
            <w:bookmarkEnd w:id="0"/>
            <w:r>
              <w:rPr>
                <w:rFonts w:hint="eastAsia" w:ascii="Times New Roman" w:hAnsi="Times New Roman" w:eastAsia="宋体" w:cs="宋体"/>
                <w:lang w:val="en-US" w:eastAsia="zh-CN"/>
              </w:rPr>
              <w:t>9.1.1</w:t>
            </w:r>
          </w:p>
          <w:p>
            <w:pPr>
              <w:rPr>
                <w:rFonts w:hint="default" w:ascii="Times New Roman" w:hAnsi="Times New Roman" w:eastAsia="宋体" w:cs="宋体"/>
                <w:lang w:val="en-US" w:eastAsia="zh-CN"/>
              </w:rPr>
            </w:pPr>
          </w:p>
        </w:tc>
        <w:tc>
          <w:tcPr>
            <w:tcW w:w="1120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企业策划了对绩效的监视和测量，编制了《绩效监视和测量与合规性评价控制管理程序》对绩效的分析和评价，对事项进行汇报的程序等。保留了必要的记录文件。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公司通过管理评审和内部审核，以及定期的目标考核，日常巡视，对发现的问题采取纠正和必要的纠正措施，确保管理体系绩效和有效性。</w:t>
            </w:r>
          </w:p>
        </w:tc>
        <w:tc>
          <w:tcPr>
            <w:tcW w:w="834" w:type="dxa"/>
            <w:vAlign w:val="top"/>
          </w:tcPr>
          <w:p>
            <w:pPr>
              <w:rPr>
                <w:rFonts w:hint="default"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7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绩效的监视和测量</w:t>
            </w:r>
          </w:p>
        </w:tc>
        <w:tc>
          <w:tcPr>
            <w:tcW w:w="110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EO9.1.1</w:t>
            </w:r>
          </w:p>
        </w:tc>
        <w:tc>
          <w:tcPr>
            <w:tcW w:w="1120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w:t>
            </w:r>
            <w:r>
              <w:rPr>
                <w:rFonts w:hint="eastAsia" w:ascii="Times New Roman" w:hAnsi="Times New Roman" w:eastAsia="宋体" w:cs="宋体"/>
                <w:lang w:val="en-GB" w:eastAsia="zh-CN"/>
              </w:rPr>
              <w:t>绩效监视和测量与合规性评价控制管理程序</w:t>
            </w:r>
            <w:r>
              <w:rPr>
                <w:rFonts w:hint="eastAsia" w:ascii="Times New Roman" w:hAnsi="Times New Roman" w:eastAsia="宋体" w:cs="宋体"/>
                <w:lang w:val="en-US" w:eastAsia="zh-CN"/>
              </w:rPr>
              <w:t>》</w:t>
            </w:r>
            <w:r>
              <w:rPr>
                <w:rFonts w:hint="eastAsia" w:ascii="Times New Roman" w:hAnsi="Times New Roman" w:cs="宋体"/>
                <w:lang w:val="en-US" w:eastAsia="zh-CN"/>
              </w:rPr>
              <w:t>《</w:t>
            </w:r>
            <w:r>
              <w:rPr>
                <w:rFonts w:hint="eastAsia" w:ascii="Times New Roman" w:hAnsi="Times New Roman" w:eastAsia="宋体" w:cs="宋体"/>
                <w:lang w:val="en-US" w:eastAsia="zh-CN"/>
              </w:rPr>
              <w:t>环境管理体系运行控制程序</w:t>
            </w:r>
            <w:r>
              <w:rPr>
                <w:rFonts w:hint="eastAsia" w:ascii="Times New Roman" w:hAnsi="Times New Roman" w:cs="宋体"/>
                <w:lang w:val="en-US" w:eastAsia="zh-CN"/>
              </w:rPr>
              <w:t>》《</w:t>
            </w:r>
            <w:r>
              <w:rPr>
                <w:rFonts w:hint="eastAsia" w:ascii="Times New Roman" w:hAnsi="Times New Roman" w:eastAsia="宋体" w:cs="宋体"/>
                <w:lang w:val="en-US" w:eastAsia="zh-CN"/>
              </w:rPr>
              <w:t>职业健康安全运行控制程序</w:t>
            </w:r>
            <w:r>
              <w:rPr>
                <w:rFonts w:hint="eastAsia" w:ascii="Times New Roman" w:hAnsi="Times New Roman"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用以控制该公司的职业健康安全和环境行为。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w:t>
            </w:r>
            <w:r>
              <w:rPr>
                <w:rFonts w:hint="eastAsia" w:ascii="Times New Roman" w:hAnsi="Times New Roman" w:cs="宋体"/>
                <w:lang w:val="en-US" w:eastAsia="zh-CN"/>
              </w:rPr>
              <w:t>王经理</w:t>
            </w:r>
            <w:r>
              <w:rPr>
                <w:rFonts w:hint="eastAsia" w:ascii="Times New Roman" w:hAnsi="Times New Roman" w:eastAsia="宋体" w:cs="宋体"/>
                <w:lang w:val="en-US" w:eastAsia="zh-CN"/>
              </w:rPr>
              <w:t>沟通，对质量、环境、安全管理体系过程进行监视和测量的方法包括：内审、管理评审、合规性评价、目标考核、服务过程的监视和测量检查等。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内审、管理评审、合规性评价、目标考核详见9.2/9.3/9.1.2/6.2的审核记录.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每月进行一次过程的监视和测量的检查，发现问题立即整改。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●日常监督检查：管代负责对各部门的职业健康安全行为进行不定期的巡检。</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巡检内容包括：消防设施状况（灭火器、消防栓、烟感、温感）、消防隐患排查情况、传染病防治情况、消杀情况、防护用品的使用情况。对发现的问题提出整改要求，责任部门整改，办公室验证整改效果。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●环境绩效监测：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办公区生活废水排入城市管网；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一般</w:t>
            </w:r>
            <w:r>
              <w:rPr>
                <w:rFonts w:hint="eastAsia" w:ascii="Times New Roman" w:hAnsi="Times New Roman" w:cs="宋体"/>
                <w:lang w:val="en-US" w:eastAsia="zh-CN"/>
              </w:rPr>
              <w:t>固废</w:t>
            </w:r>
            <w:r>
              <w:rPr>
                <w:rFonts w:hint="eastAsia" w:ascii="Times New Roman" w:hAnsi="Times New Roman" w:eastAsia="宋体" w:cs="宋体"/>
                <w:lang w:val="en-US" w:eastAsia="zh-CN"/>
              </w:rPr>
              <w:t>，按规定收集，卖给废品收购站；废弃的电池、墨盒、灯管交由提供商或市政进行处理；废弃的防疫物资设置了专门的垃圾桶进行处理；</w:t>
            </w:r>
          </w:p>
          <w:p>
            <w:pPr>
              <w:rPr>
                <w:rFonts w:hint="eastAsia" w:ascii="Times New Roman" w:hAnsi="Times New Roman" w:eastAsia="宋体" w:cs="宋体"/>
                <w:lang w:val="en-US" w:eastAsia="zh-CN"/>
              </w:rPr>
            </w:pPr>
            <w:r>
              <w:rPr>
                <w:rFonts w:hint="eastAsia"/>
                <w:szCs w:val="21"/>
              </w:rPr>
              <w:t>门卫、巡逻、守</w:t>
            </w:r>
            <w:r>
              <w:rPr>
                <w:rFonts w:hint="eastAsia"/>
                <w:szCs w:val="21"/>
                <w:lang w:eastAsia="zh-CN"/>
              </w:rPr>
              <w:t>护</w:t>
            </w:r>
            <w:r>
              <w:rPr>
                <w:rFonts w:hint="eastAsia"/>
                <w:szCs w:val="21"/>
              </w:rPr>
              <w:t>、区域秩序维护</w:t>
            </w:r>
            <w:r>
              <w:rPr>
                <w:rFonts w:hint="eastAsia" w:ascii="Times New Roman" w:hAnsi="Times New Roman" w:eastAsia="宋体" w:cs="宋体"/>
                <w:lang w:val="en-US" w:eastAsia="zh-CN"/>
              </w:rPr>
              <w:t>项目现场</w:t>
            </w:r>
            <w:r>
              <w:rPr>
                <w:rFonts w:hint="eastAsia" w:ascii="Times New Roman" w:hAnsi="Times New Roman" w:cs="宋体"/>
                <w:lang w:val="en-US" w:eastAsia="zh-CN"/>
              </w:rPr>
              <w:t>无重大噪声，无废水产生；固废分类存放，定期交由物业统一处理；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自体系以来没有发生过环境污染事故。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职业健康安全目标指标：已完成</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为员工缴纳了保险。企业组织员工每年进行体检，提供了体检报告多份，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抽白洪川体检报告，体检日期：2021-11-28，体检单位：石家庄长城中西医结合医院体检部；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抽马景全体检报告，体检日期：2021-12-9，体检单位：石家庄市藁城人民医院；</w:t>
            </w:r>
          </w:p>
          <w:p>
            <w:pPr>
              <w:rPr>
                <w:rFonts w:hint="eastAsia" w:cs="宋体"/>
                <w:lang w:val="en-US" w:eastAsia="zh-CN"/>
              </w:rPr>
            </w:pPr>
            <w:r>
              <w:rPr>
                <w:rFonts w:hint="eastAsia" w:cs="宋体"/>
                <w:lang w:val="en-US" w:eastAsia="zh-CN"/>
              </w:rPr>
              <w:t>抽贺杰体检报告，体检日期：2021年12月6日，体检单位：石家庄慈济医院；</w:t>
            </w:r>
          </w:p>
          <w:p>
            <w:pPr>
              <w:rPr>
                <w:rFonts w:hint="default" w:ascii="Times New Roman" w:hAnsi="Times New Roman" w:eastAsia="宋体" w:cs="宋体"/>
                <w:lang w:val="en-US" w:eastAsia="zh-CN"/>
              </w:rPr>
            </w:pPr>
            <w:r>
              <w:rPr>
                <w:rFonts w:hint="eastAsia" w:cs="宋体"/>
                <w:lang w:val="en-US" w:eastAsia="zh-CN"/>
              </w:rPr>
              <w:t>另抽其他体检报告4份，除部分员工有基础疾病，无职业危害类疾病</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自体系运行以来没有发生过重大安全事故。</w:t>
            </w:r>
          </w:p>
          <w:p>
            <w:pPr>
              <w:rPr>
                <w:rFonts w:hint="eastAsia" w:ascii="Times New Roman" w:hAnsi="Times New Roman" w:eastAsia="宋体" w:cs="宋体"/>
                <w:lang w:val="en-US" w:eastAsia="zh-CN"/>
              </w:rPr>
            </w:pPr>
            <w:r>
              <w:rPr>
                <w:rFonts w:hint="eastAsia" w:ascii="Times New Roman" w:hAnsi="Times New Roman" w:cs="宋体"/>
                <w:lang w:val="en-US" w:eastAsia="zh-CN"/>
              </w:rPr>
              <w:t>无环境、职业健康安全监测设备。</w:t>
            </w:r>
          </w:p>
        </w:tc>
        <w:tc>
          <w:tcPr>
            <w:tcW w:w="834" w:type="dxa"/>
            <w:vAlign w:val="top"/>
          </w:tcPr>
          <w:p>
            <w:pPr>
              <w:rPr>
                <w:rFonts w:hint="default" w:cs="宋体"/>
                <w:lang w:val="en-US" w:eastAsia="zh-CN"/>
              </w:rPr>
            </w:pPr>
            <w:r>
              <w:rPr>
                <w:rFonts w:hint="eastAsia" w:cs="宋体"/>
                <w:lang w:val="en-US" w:eastAsia="zh-CN"/>
              </w:rPr>
              <w:t>Y</w:t>
            </w:r>
          </w:p>
        </w:tc>
      </w:tr>
    </w:tbl>
    <w:p>
      <w:pPr>
        <w:rPr>
          <w:rFonts w:hint="eastAsia"/>
        </w:rPr>
      </w:pPr>
      <w:r>
        <w:rPr>
          <w:rFonts w:hint="eastAsia" w:ascii="楷体" w:hAnsi="楷体" w:eastAsia="楷体" w:cs="楷体"/>
          <w:sz w:val="21"/>
          <w:szCs w:val="21"/>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none" w:color="auto" w:sz="0" w:space="0"/>
      </w:pBdr>
      <w:spacing w:line="320" w:lineRule="exact"/>
      <w:ind w:firstLine="756" w:firstLineChars="400"/>
      <w:jc w:val="left"/>
    </w:pPr>
    <w:r>
      <w:rPr>
        <w:rStyle w:val="2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2C61F7"/>
    <w:rsid w:val="00490B57"/>
    <w:rsid w:val="005714C6"/>
    <w:rsid w:val="006E6810"/>
    <w:rsid w:val="009A5857"/>
    <w:rsid w:val="00C84172"/>
    <w:rsid w:val="010F48F2"/>
    <w:rsid w:val="011078C7"/>
    <w:rsid w:val="013E61E2"/>
    <w:rsid w:val="014C6B51"/>
    <w:rsid w:val="018362EB"/>
    <w:rsid w:val="01C761D7"/>
    <w:rsid w:val="01D11448"/>
    <w:rsid w:val="01F176F8"/>
    <w:rsid w:val="0233386D"/>
    <w:rsid w:val="02460EBC"/>
    <w:rsid w:val="025B2DC4"/>
    <w:rsid w:val="0281282A"/>
    <w:rsid w:val="028D1F0F"/>
    <w:rsid w:val="02AF14BB"/>
    <w:rsid w:val="02D42E5C"/>
    <w:rsid w:val="02EE59E6"/>
    <w:rsid w:val="031A4A2D"/>
    <w:rsid w:val="032000D3"/>
    <w:rsid w:val="034C72DC"/>
    <w:rsid w:val="0361440A"/>
    <w:rsid w:val="037759DB"/>
    <w:rsid w:val="03C54999"/>
    <w:rsid w:val="03E65F01"/>
    <w:rsid w:val="04657F2A"/>
    <w:rsid w:val="04754AE4"/>
    <w:rsid w:val="04CC45D7"/>
    <w:rsid w:val="051C4A8C"/>
    <w:rsid w:val="053472A6"/>
    <w:rsid w:val="05544226"/>
    <w:rsid w:val="05B64EE1"/>
    <w:rsid w:val="05DD06BF"/>
    <w:rsid w:val="0607573C"/>
    <w:rsid w:val="06405665"/>
    <w:rsid w:val="06420522"/>
    <w:rsid w:val="06D373CC"/>
    <w:rsid w:val="06D51397"/>
    <w:rsid w:val="06E65352"/>
    <w:rsid w:val="079E3E7E"/>
    <w:rsid w:val="07A1396F"/>
    <w:rsid w:val="07C66F31"/>
    <w:rsid w:val="07C84A57"/>
    <w:rsid w:val="07FD6DF7"/>
    <w:rsid w:val="08391DD9"/>
    <w:rsid w:val="08493DEA"/>
    <w:rsid w:val="08513A4A"/>
    <w:rsid w:val="086724C2"/>
    <w:rsid w:val="087D5842"/>
    <w:rsid w:val="08C23B9D"/>
    <w:rsid w:val="08DD2784"/>
    <w:rsid w:val="091A5787"/>
    <w:rsid w:val="092A7093"/>
    <w:rsid w:val="092C034B"/>
    <w:rsid w:val="092E2FE0"/>
    <w:rsid w:val="09300B06"/>
    <w:rsid w:val="09630EDC"/>
    <w:rsid w:val="097E5D15"/>
    <w:rsid w:val="09EE1E70"/>
    <w:rsid w:val="09F204B1"/>
    <w:rsid w:val="0A115858"/>
    <w:rsid w:val="0A5E78F5"/>
    <w:rsid w:val="0AA25AD7"/>
    <w:rsid w:val="0AA44D6C"/>
    <w:rsid w:val="0AB063A2"/>
    <w:rsid w:val="0AD16319"/>
    <w:rsid w:val="0AD96F7B"/>
    <w:rsid w:val="0ADD2F10"/>
    <w:rsid w:val="0B0264D2"/>
    <w:rsid w:val="0B100BEF"/>
    <w:rsid w:val="0B3D39AE"/>
    <w:rsid w:val="0B446AEB"/>
    <w:rsid w:val="0B6131F9"/>
    <w:rsid w:val="0B8B471A"/>
    <w:rsid w:val="0BBA0B5B"/>
    <w:rsid w:val="0BEE3B84"/>
    <w:rsid w:val="0BEF4CA9"/>
    <w:rsid w:val="0C346286"/>
    <w:rsid w:val="0C3C6854"/>
    <w:rsid w:val="0C937D2A"/>
    <w:rsid w:val="0CAA5073"/>
    <w:rsid w:val="0CC23A17"/>
    <w:rsid w:val="0CD345CA"/>
    <w:rsid w:val="0D222E5C"/>
    <w:rsid w:val="0D4A4DE7"/>
    <w:rsid w:val="0DE46BF0"/>
    <w:rsid w:val="0DEB76F2"/>
    <w:rsid w:val="0E15651D"/>
    <w:rsid w:val="0E9E29B6"/>
    <w:rsid w:val="0EB67D00"/>
    <w:rsid w:val="0F16079E"/>
    <w:rsid w:val="0F364782"/>
    <w:rsid w:val="0F5512C6"/>
    <w:rsid w:val="0F713C26"/>
    <w:rsid w:val="0FBA3760"/>
    <w:rsid w:val="0FE84CF1"/>
    <w:rsid w:val="0FEB54AD"/>
    <w:rsid w:val="0FFC3E38"/>
    <w:rsid w:val="0FFD54BA"/>
    <w:rsid w:val="102E48B5"/>
    <w:rsid w:val="1070092E"/>
    <w:rsid w:val="10855BDB"/>
    <w:rsid w:val="10A1053B"/>
    <w:rsid w:val="10D64689"/>
    <w:rsid w:val="10EB3BBF"/>
    <w:rsid w:val="11052B5A"/>
    <w:rsid w:val="11214497"/>
    <w:rsid w:val="1122167C"/>
    <w:rsid w:val="112C42A9"/>
    <w:rsid w:val="11643A08"/>
    <w:rsid w:val="117614BA"/>
    <w:rsid w:val="11A26319"/>
    <w:rsid w:val="11C6025A"/>
    <w:rsid w:val="11C646FD"/>
    <w:rsid w:val="11F76665"/>
    <w:rsid w:val="125C471A"/>
    <w:rsid w:val="126F08F1"/>
    <w:rsid w:val="1273087D"/>
    <w:rsid w:val="12837EF9"/>
    <w:rsid w:val="1296510B"/>
    <w:rsid w:val="12A61E39"/>
    <w:rsid w:val="12E76701"/>
    <w:rsid w:val="1343554A"/>
    <w:rsid w:val="1382700E"/>
    <w:rsid w:val="13AC7EF0"/>
    <w:rsid w:val="13DF1AA7"/>
    <w:rsid w:val="1424261C"/>
    <w:rsid w:val="143D057B"/>
    <w:rsid w:val="14DC2CD6"/>
    <w:rsid w:val="15086DDB"/>
    <w:rsid w:val="150A035F"/>
    <w:rsid w:val="15475B55"/>
    <w:rsid w:val="156009C5"/>
    <w:rsid w:val="15761F97"/>
    <w:rsid w:val="15923292"/>
    <w:rsid w:val="15DE18EA"/>
    <w:rsid w:val="162E461F"/>
    <w:rsid w:val="165D746F"/>
    <w:rsid w:val="167D26F3"/>
    <w:rsid w:val="168801D3"/>
    <w:rsid w:val="16A86180"/>
    <w:rsid w:val="16B5089D"/>
    <w:rsid w:val="16B965DF"/>
    <w:rsid w:val="16BF34C9"/>
    <w:rsid w:val="16D36F75"/>
    <w:rsid w:val="17141A67"/>
    <w:rsid w:val="17342109"/>
    <w:rsid w:val="173E4D36"/>
    <w:rsid w:val="1780297E"/>
    <w:rsid w:val="1787048B"/>
    <w:rsid w:val="178D23B1"/>
    <w:rsid w:val="17C70888"/>
    <w:rsid w:val="17E3399B"/>
    <w:rsid w:val="17F56A2E"/>
    <w:rsid w:val="18196493"/>
    <w:rsid w:val="182B350C"/>
    <w:rsid w:val="183323C1"/>
    <w:rsid w:val="183F48C2"/>
    <w:rsid w:val="185F79E5"/>
    <w:rsid w:val="186D1358"/>
    <w:rsid w:val="18C96881"/>
    <w:rsid w:val="191C4C03"/>
    <w:rsid w:val="19434886"/>
    <w:rsid w:val="19773670"/>
    <w:rsid w:val="19985DD9"/>
    <w:rsid w:val="19A8293B"/>
    <w:rsid w:val="19FD1CEF"/>
    <w:rsid w:val="1A1F513E"/>
    <w:rsid w:val="1A620D3B"/>
    <w:rsid w:val="1A683FD2"/>
    <w:rsid w:val="1A772A39"/>
    <w:rsid w:val="1A8635C8"/>
    <w:rsid w:val="1A8E1B30"/>
    <w:rsid w:val="1B11796B"/>
    <w:rsid w:val="1B155DAE"/>
    <w:rsid w:val="1B632FBD"/>
    <w:rsid w:val="1B9B6711"/>
    <w:rsid w:val="1BCA6B98"/>
    <w:rsid w:val="1BE0460E"/>
    <w:rsid w:val="1BEA0FE8"/>
    <w:rsid w:val="1C1B5646"/>
    <w:rsid w:val="1C5D76A9"/>
    <w:rsid w:val="1CA218C3"/>
    <w:rsid w:val="1CA94A00"/>
    <w:rsid w:val="1CE65C54"/>
    <w:rsid w:val="1D0C4F8F"/>
    <w:rsid w:val="1D156539"/>
    <w:rsid w:val="1D3544E5"/>
    <w:rsid w:val="1D666D95"/>
    <w:rsid w:val="1DA12DCA"/>
    <w:rsid w:val="1DB25B36"/>
    <w:rsid w:val="1DC51585"/>
    <w:rsid w:val="1DC53ABB"/>
    <w:rsid w:val="1DFE521F"/>
    <w:rsid w:val="1E890F8D"/>
    <w:rsid w:val="1ECA06AA"/>
    <w:rsid w:val="1EE14925"/>
    <w:rsid w:val="1F0A5D4D"/>
    <w:rsid w:val="1F1D7927"/>
    <w:rsid w:val="1F740D38"/>
    <w:rsid w:val="1F941A2B"/>
    <w:rsid w:val="1FB97650"/>
    <w:rsid w:val="1FBE6A14"/>
    <w:rsid w:val="1FE0288F"/>
    <w:rsid w:val="200E5F93"/>
    <w:rsid w:val="202B1BD0"/>
    <w:rsid w:val="203647FC"/>
    <w:rsid w:val="205F63D2"/>
    <w:rsid w:val="20CE2C87"/>
    <w:rsid w:val="20F46465"/>
    <w:rsid w:val="2186711E"/>
    <w:rsid w:val="21947BAF"/>
    <w:rsid w:val="219519F6"/>
    <w:rsid w:val="2197751D"/>
    <w:rsid w:val="21AE2AB8"/>
    <w:rsid w:val="21C978F2"/>
    <w:rsid w:val="21CF4F08"/>
    <w:rsid w:val="21FF5741"/>
    <w:rsid w:val="22055993"/>
    <w:rsid w:val="224631C9"/>
    <w:rsid w:val="22BF6717"/>
    <w:rsid w:val="23007343"/>
    <w:rsid w:val="23072480"/>
    <w:rsid w:val="234C2589"/>
    <w:rsid w:val="235B30FB"/>
    <w:rsid w:val="238D507B"/>
    <w:rsid w:val="239D2DE4"/>
    <w:rsid w:val="23D21FE8"/>
    <w:rsid w:val="23E11FEC"/>
    <w:rsid w:val="240F5A90"/>
    <w:rsid w:val="241D19DD"/>
    <w:rsid w:val="242D23BA"/>
    <w:rsid w:val="244119C2"/>
    <w:rsid w:val="24656C1B"/>
    <w:rsid w:val="24961D0D"/>
    <w:rsid w:val="24C703B6"/>
    <w:rsid w:val="24D701CE"/>
    <w:rsid w:val="24DB1E16"/>
    <w:rsid w:val="24FD1D8D"/>
    <w:rsid w:val="250336C8"/>
    <w:rsid w:val="2504136D"/>
    <w:rsid w:val="25056E93"/>
    <w:rsid w:val="251B1717"/>
    <w:rsid w:val="251C7F7B"/>
    <w:rsid w:val="25641E0C"/>
    <w:rsid w:val="25754083"/>
    <w:rsid w:val="2599753F"/>
    <w:rsid w:val="25A90276"/>
    <w:rsid w:val="25AA523A"/>
    <w:rsid w:val="25B1167D"/>
    <w:rsid w:val="25C10C4D"/>
    <w:rsid w:val="25DC4098"/>
    <w:rsid w:val="25E20F82"/>
    <w:rsid w:val="25E60B69"/>
    <w:rsid w:val="26084E8D"/>
    <w:rsid w:val="261C26E6"/>
    <w:rsid w:val="263537A8"/>
    <w:rsid w:val="266320C3"/>
    <w:rsid w:val="26704A11"/>
    <w:rsid w:val="26792A64"/>
    <w:rsid w:val="268629A8"/>
    <w:rsid w:val="26EB3E67"/>
    <w:rsid w:val="26EF7DFB"/>
    <w:rsid w:val="27252DB6"/>
    <w:rsid w:val="275F6D2E"/>
    <w:rsid w:val="277976C4"/>
    <w:rsid w:val="27870033"/>
    <w:rsid w:val="27A037D2"/>
    <w:rsid w:val="27B34984"/>
    <w:rsid w:val="27D05536"/>
    <w:rsid w:val="27D112AE"/>
    <w:rsid w:val="27D165A2"/>
    <w:rsid w:val="280D0539"/>
    <w:rsid w:val="28170541"/>
    <w:rsid w:val="28814A83"/>
    <w:rsid w:val="28885959"/>
    <w:rsid w:val="28E74AAC"/>
    <w:rsid w:val="28FA6F40"/>
    <w:rsid w:val="29CE5AA6"/>
    <w:rsid w:val="29DF7CB3"/>
    <w:rsid w:val="2A1D74B6"/>
    <w:rsid w:val="2A36189D"/>
    <w:rsid w:val="2A573CED"/>
    <w:rsid w:val="2A685EFA"/>
    <w:rsid w:val="2A9156A2"/>
    <w:rsid w:val="2A9A1E2C"/>
    <w:rsid w:val="2AE00186"/>
    <w:rsid w:val="2AE31A25"/>
    <w:rsid w:val="2AFB6D6E"/>
    <w:rsid w:val="2B0A0D5F"/>
    <w:rsid w:val="2B2F07C6"/>
    <w:rsid w:val="2B481888"/>
    <w:rsid w:val="2B7F3816"/>
    <w:rsid w:val="2BB62F23"/>
    <w:rsid w:val="2BFB66F7"/>
    <w:rsid w:val="2C2A302A"/>
    <w:rsid w:val="2C772424"/>
    <w:rsid w:val="2CA3146B"/>
    <w:rsid w:val="2CDF621C"/>
    <w:rsid w:val="2CEF2903"/>
    <w:rsid w:val="2D1302BF"/>
    <w:rsid w:val="2D294951"/>
    <w:rsid w:val="2D391DD0"/>
    <w:rsid w:val="2D57710F"/>
    <w:rsid w:val="2D7D2598"/>
    <w:rsid w:val="2D83129D"/>
    <w:rsid w:val="2D8A262B"/>
    <w:rsid w:val="2DB96A6D"/>
    <w:rsid w:val="2DCF1F8A"/>
    <w:rsid w:val="2DD378BF"/>
    <w:rsid w:val="2E2C723F"/>
    <w:rsid w:val="2E494294"/>
    <w:rsid w:val="2E5D564A"/>
    <w:rsid w:val="2E720EEB"/>
    <w:rsid w:val="2EDF2503"/>
    <w:rsid w:val="2EF82EA4"/>
    <w:rsid w:val="2F2F5238"/>
    <w:rsid w:val="2F2F55AF"/>
    <w:rsid w:val="2F7217AE"/>
    <w:rsid w:val="2F805A94"/>
    <w:rsid w:val="2FB029CD"/>
    <w:rsid w:val="2FD7142C"/>
    <w:rsid w:val="2FD858D0"/>
    <w:rsid w:val="300F0BC6"/>
    <w:rsid w:val="300F2E8F"/>
    <w:rsid w:val="30246C81"/>
    <w:rsid w:val="304C3BC8"/>
    <w:rsid w:val="30D330AB"/>
    <w:rsid w:val="31210BB1"/>
    <w:rsid w:val="31353B3B"/>
    <w:rsid w:val="314F1BC2"/>
    <w:rsid w:val="318555E4"/>
    <w:rsid w:val="31A25F76"/>
    <w:rsid w:val="31F71C8C"/>
    <w:rsid w:val="323D71D6"/>
    <w:rsid w:val="324C4353"/>
    <w:rsid w:val="32662F17"/>
    <w:rsid w:val="328238D1"/>
    <w:rsid w:val="32933D30"/>
    <w:rsid w:val="32945358"/>
    <w:rsid w:val="329A50BF"/>
    <w:rsid w:val="32A72670"/>
    <w:rsid w:val="32A74481"/>
    <w:rsid w:val="32D85BE7"/>
    <w:rsid w:val="32E53E60"/>
    <w:rsid w:val="3330332D"/>
    <w:rsid w:val="335A65FC"/>
    <w:rsid w:val="335C76C1"/>
    <w:rsid w:val="33650773"/>
    <w:rsid w:val="33811DDB"/>
    <w:rsid w:val="33C9718C"/>
    <w:rsid w:val="33CC5F8E"/>
    <w:rsid w:val="33DC1707"/>
    <w:rsid w:val="33F97BC3"/>
    <w:rsid w:val="343B70D4"/>
    <w:rsid w:val="348C0A37"/>
    <w:rsid w:val="34B9286C"/>
    <w:rsid w:val="34EA4EFB"/>
    <w:rsid w:val="34EC597A"/>
    <w:rsid w:val="34F565DC"/>
    <w:rsid w:val="34F62C60"/>
    <w:rsid w:val="35753BC1"/>
    <w:rsid w:val="35D16601"/>
    <w:rsid w:val="35FB40C6"/>
    <w:rsid w:val="36293E10"/>
    <w:rsid w:val="36617CA1"/>
    <w:rsid w:val="367D0F7F"/>
    <w:rsid w:val="36A9588C"/>
    <w:rsid w:val="36AB40E2"/>
    <w:rsid w:val="36EC6E3D"/>
    <w:rsid w:val="36F40B16"/>
    <w:rsid w:val="36FB00F6"/>
    <w:rsid w:val="37076A9B"/>
    <w:rsid w:val="373D42AF"/>
    <w:rsid w:val="37411FAD"/>
    <w:rsid w:val="37841E99"/>
    <w:rsid w:val="37865C12"/>
    <w:rsid w:val="379522F8"/>
    <w:rsid w:val="37AE5E43"/>
    <w:rsid w:val="37B07132"/>
    <w:rsid w:val="37C8447C"/>
    <w:rsid w:val="37DD15AA"/>
    <w:rsid w:val="38423DB7"/>
    <w:rsid w:val="3845787B"/>
    <w:rsid w:val="38807E5C"/>
    <w:rsid w:val="388F4AC7"/>
    <w:rsid w:val="38B10E44"/>
    <w:rsid w:val="38C7746E"/>
    <w:rsid w:val="38E17EBE"/>
    <w:rsid w:val="38E36B3A"/>
    <w:rsid w:val="38F117B0"/>
    <w:rsid w:val="391334D5"/>
    <w:rsid w:val="39827B7C"/>
    <w:rsid w:val="39A14F85"/>
    <w:rsid w:val="39D07618"/>
    <w:rsid w:val="39D75DA5"/>
    <w:rsid w:val="39ED011F"/>
    <w:rsid w:val="39F42601"/>
    <w:rsid w:val="39FD5F33"/>
    <w:rsid w:val="3A265700"/>
    <w:rsid w:val="3A2C579E"/>
    <w:rsid w:val="3A56723A"/>
    <w:rsid w:val="3A687753"/>
    <w:rsid w:val="3A6D130B"/>
    <w:rsid w:val="3A8B353F"/>
    <w:rsid w:val="3A8D5509"/>
    <w:rsid w:val="3AD77564"/>
    <w:rsid w:val="3AE570F3"/>
    <w:rsid w:val="3B1E3282"/>
    <w:rsid w:val="3B334302"/>
    <w:rsid w:val="3B36706A"/>
    <w:rsid w:val="3B4C7172"/>
    <w:rsid w:val="3B744E3E"/>
    <w:rsid w:val="3BB371F1"/>
    <w:rsid w:val="3BB844ED"/>
    <w:rsid w:val="3BC76F4B"/>
    <w:rsid w:val="3BD11425"/>
    <w:rsid w:val="3BDA652C"/>
    <w:rsid w:val="3BF5780A"/>
    <w:rsid w:val="3C147E29"/>
    <w:rsid w:val="3CAE3557"/>
    <w:rsid w:val="3CB40EF3"/>
    <w:rsid w:val="3CC66AB0"/>
    <w:rsid w:val="3D791099"/>
    <w:rsid w:val="3D7B789B"/>
    <w:rsid w:val="3DAA0180"/>
    <w:rsid w:val="3DC21146"/>
    <w:rsid w:val="3E66679D"/>
    <w:rsid w:val="3EAD1CD6"/>
    <w:rsid w:val="3F0D6C18"/>
    <w:rsid w:val="3F2076D4"/>
    <w:rsid w:val="3F3B5533"/>
    <w:rsid w:val="3F5D5AEE"/>
    <w:rsid w:val="3F620FE1"/>
    <w:rsid w:val="3FB11C9A"/>
    <w:rsid w:val="3FCC0881"/>
    <w:rsid w:val="3FE80E29"/>
    <w:rsid w:val="405C41EF"/>
    <w:rsid w:val="406805AA"/>
    <w:rsid w:val="40925015"/>
    <w:rsid w:val="409D5D7A"/>
    <w:rsid w:val="411900B3"/>
    <w:rsid w:val="41207F86"/>
    <w:rsid w:val="412F7925"/>
    <w:rsid w:val="41313092"/>
    <w:rsid w:val="41463C47"/>
    <w:rsid w:val="417411D1"/>
    <w:rsid w:val="418A27A2"/>
    <w:rsid w:val="41990C37"/>
    <w:rsid w:val="41A039FB"/>
    <w:rsid w:val="41BD2B78"/>
    <w:rsid w:val="41F27582"/>
    <w:rsid w:val="41F71255"/>
    <w:rsid w:val="42091F04"/>
    <w:rsid w:val="422644C9"/>
    <w:rsid w:val="42336996"/>
    <w:rsid w:val="42415ACC"/>
    <w:rsid w:val="42507548"/>
    <w:rsid w:val="425863FC"/>
    <w:rsid w:val="42C27D1A"/>
    <w:rsid w:val="42CD1E63"/>
    <w:rsid w:val="42D57A4D"/>
    <w:rsid w:val="4311364B"/>
    <w:rsid w:val="431F6DB3"/>
    <w:rsid w:val="4326474D"/>
    <w:rsid w:val="43413334"/>
    <w:rsid w:val="43B672B6"/>
    <w:rsid w:val="43BA5753"/>
    <w:rsid w:val="43BE09EA"/>
    <w:rsid w:val="43E731C5"/>
    <w:rsid w:val="43EE7018"/>
    <w:rsid w:val="44134CD1"/>
    <w:rsid w:val="44156D87"/>
    <w:rsid w:val="445552E9"/>
    <w:rsid w:val="4461660D"/>
    <w:rsid w:val="447459AC"/>
    <w:rsid w:val="44AB6CB7"/>
    <w:rsid w:val="44B244EA"/>
    <w:rsid w:val="451D0117"/>
    <w:rsid w:val="45244CBC"/>
    <w:rsid w:val="45440EBA"/>
    <w:rsid w:val="45AC1B90"/>
    <w:rsid w:val="45B24076"/>
    <w:rsid w:val="45B46040"/>
    <w:rsid w:val="45B750ED"/>
    <w:rsid w:val="45BC2AC4"/>
    <w:rsid w:val="45C73FC5"/>
    <w:rsid w:val="45DB537A"/>
    <w:rsid w:val="465A6BE7"/>
    <w:rsid w:val="466C526D"/>
    <w:rsid w:val="4674757D"/>
    <w:rsid w:val="46F10BCE"/>
    <w:rsid w:val="46FF153C"/>
    <w:rsid w:val="47061B43"/>
    <w:rsid w:val="47C84024"/>
    <w:rsid w:val="4800556C"/>
    <w:rsid w:val="480A3EF4"/>
    <w:rsid w:val="48141018"/>
    <w:rsid w:val="486D24D6"/>
    <w:rsid w:val="487321E2"/>
    <w:rsid w:val="48B40105"/>
    <w:rsid w:val="48E96000"/>
    <w:rsid w:val="49060DC5"/>
    <w:rsid w:val="49320D4E"/>
    <w:rsid w:val="498875C7"/>
    <w:rsid w:val="49AA1C33"/>
    <w:rsid w:val="49CD76D0"/>
    <w:rsid w:val="49D75781"/>
    <w:rsid w:val="49E54A1A"/>
    <w:rsid w:val="4A001853"/>
    <w:rsid w:val="4A1A3609"/>
    <w:rsid w:val="4A396B13"/>
    <w:rsid w:val="4A3A2A9F"/>
    <w:rsid w:val="4A4D25BF"/>
    <w:rsid w:val="4A600544"/>
    <w:rsid w:val="4A745D9D"/>
    <w:rsid w:val="4B332F45"/>
    <w:rsid w:val="4B906C46"/>
    <w:rsid w:val="4B95421D"/>
    <w:rsid w:val="4C006E30"/>
    <w:rsid w:val="4C0F3FD0"/>
    <w:rsid w:val="4C804ECE"/>
    <w:rsid w:val="4C83736D"/>
    <w:rsid w:val="4C885B30"/>
    <w:rsid w:val="4CDB65A8"/>
    <w:rsid w:val="4D00367C"/>
    <w:rsid w:val="4D096C71"/>
    <w:rsid w:val="4D0E4287"/>
    <w:rsid w:val="4D1C5366"/>
    <w:rsid w:val="4D220322"/>
    <w:rsid w:val="4D3C320F"/>
    <w:rsid w:val="4D550108"/>
    <w:rsid w:val="4DDD3C5A"/>
    <w:rsid w:val="4DE95E4E"/>
    <w:rsid w:val="4DFA5872"/>
    <w:rsid w:val="4E3272FE"/>
    <w:rsid w:val="4E4B27AD"/>
    <w:rsid w:val="4E4D25BD"/>
    <w:rsid w:val="4E523B5A"/>
    <w:rsid w:val="4E6C395B"/>
    <w:rsid w:val="4E8C5DAC"/>
    <w:rsid w:val="4ED911D3"/>
    <w:rsid w:val="4EE554BC"/>
    <w:rsid w:val="4F6939F7"/>
    <w:rsid w:val="4FAD422B"/>
    <w:rsid w:val="50334005"/>
    <w:rsid w:val="5043249A"/>
    <w:rsid w:val="504B57F2"/>
    <w:rsid w:val="507408A5"/>
    <w:rsid w:val="50A70C7B"/>
    <w:rsid w:val="51087240"/>
    <w:rsid w:val="511A58F1"/>
    <w:rsid w:val="513B7615"/>
    <w:rsid w:val="514209A3"/>
    <w:rsid w:val="51864D34"/>
    <w:rsid w:val="51905470"/>
    <w:rsid w:val="519A6FAF"/>
    <w:rsid w:val="51B01DB1"/>
    <w:rsid w:val="51FC6DA4"/>
    <w:rsid w:val="5253098E"/>
    <w:rsid w:val="525A3ACB"/>
    <w:rsid w:val="529D0C02"/>
    <w:rsid w:val="52E71802"/>
    <w:rsid w:val="532D11DF"/>
    <w:rsid w:val="534F55FA"/>
    <w:rsid w:val="535B5D4C"/>
    <w:rsid w:val="53762B86"/>
    <w:rsid w:val="538F3C48"/>
    <w:rsid w:val="53B84F4D"/>
    <w:rsid w:val="53C208DB"/>
    <w:rsid w:val="53CC27A6"/>
    <w:rsid w:val="542253DC"/>
    <w:rsid w:val="542E7BB3"/>
    <w:rsid w:val="543D17CB"/>
    <w:rsid w:val="54617393"/>
    <w:rsid w:val="54A778C0"/>
    <w:rsid w:val="54AB6860"/>
    <w:rsid w:val="54CE3AA7"/>
    <w:rsid w:val="54D933CD"/>
    <w:rsid w:val="54F2189F"/>
    <w:rsid w:val="55024449"/>
    <w:rsid w:val="552B0501"/>
    <w:rsid w:val="55320D2F"/>
    <w:rsid w:val="554271C4"/>
    <w:rsid w:val="554A7E27"/>
    <w:rsid w:val="557650C0"/>
    <w:rsid w:val="55CD2D3D"/>
    <w:rsid w:val="55CE76F0"/>
    <w:rsid w:val="55F67FAE"/>
    <w:rsid w:val="55FB7373"/>
    <w:rsid w:val="56024BA5"/>
    <w:rsid w:val="561004C3"/>
    <w:rsid w:val="56243ACD"/>
    <w:rsid w:val="566E56D4"/>
    <w:rsid w:val="56933A4F"/>
    <w:rsid w:val="56AD2D63"/>
    <w:rsid w:val="56B714EC"/>
    <w:rsid w:val="56BD505E"/>
    <w:rsid w:val="56D95B7F"/>
    <w:rsid w:val="56F236DA"/>
    <w:rsid w:val="56F42A07"/>
    <w:rsid w:val="56FF14FB"/>
    <w:rsid w:val="57066F23"/>
    <w:rsid w:val="572528F9"/>
    <w:rsid w:val="572D7A00"/>
    <w:rsid w:val="5765363E"/>
    <w:rsid w:val="5773022F"/>
    <w:rsid w:val="57777883"/>
    <w:rsid w:val="57E44562"/>
    <w:rsid w:val="57F55B48"/>
    <w:rsid w:val="580C3AB9"/>
    <w:rsid w:val="58262DCD"/>
    <w:rsid w:val="583C23E5"/>
    <w:rsid w:val="58403763"/>
    <w:rsid w:val="58711B6E"/>
    <w:rsid w:val="5895585D"/>
    <w:rsid w:val="58D2260D"/>
    <w:rsid w:val="58F46A27"/>
    <w:rsid w:val="58F5279F"/>
    <w:rsid w:val="59407EBE"/>
    <w:rsid w:val="59516618"/>
    <w:rsid w:val="59CC52AE"/>
    <w:rsid w:val="59E31446"/>
    <w:rsid w:val="59EE791A"/>
    <w:rsid w:val="5A074538"/>
    <w:rsid w:val="5A1671C8"/>
    <w:rsid w:val="5A186745"/>
    <w:rsid w:val="5A64198B"/>
    <w:rsid w:val="5A7476F4"/>
    <w:rsid w:val="5AB75F5E"/>
    <w:rsid w:val="5ABA77FD"/>
    <w:rsid w:val="5AF54CD9"/>
    <w:rsid w:val="5B7756EE"/>
    <w:rsid w:val="5B8322E4"/>
    <w:rsid w:val="5BCF1086"/>
    <w:rsid w:val="5BDE1878"/>
    <w:rsid w:val="5BF141C0"/>
    <w:rsid w:val="5C0056E3"/>
    <w:rsid w:val="5C0D7E00"/>
    <w:rsid w:val="5C3B2BBF"/>
    <w:rsid w:val="5C4557EC"/>
    <w:rsid w:val="5C700CA7"/>
    <w:rsid w:val="5C961BA3"/>
    <w:rsid w:val="5CAD7D38"/>
    <w:rsid w:val="5CC36972"/>
    <w:rsid w:val="5D0163F1"/>
    <w:rsid w:val="5D186A5C"/>
    <w:rsid w:val="5D5C2DED"/>
    <w:rsid w:val="5D6C2870"/>
    <w:rsid w:val="5D8B5480"/>
    <w:rsid w:val="5D9F12A3"/>
    <w:rsid w:val="5DAA1DAA"/>
    <w:rsid w:val="5DD62B9F"/>
    <w:rsid w:val="5DDB0322"/>
    <w:rsid w:val="5DFB0858"/>
    <w:rsid w:val="5E08490C"/>
    <w:rsid w:val="5E431827"/>
    <w:rsid w:val="5E535813"/>
    <w:rsid w:val="5E5B4E53"/>
    <w:rsid w:val="5E912F6A"/>
    <w:rsid w:val="5EBD3D5F"/>
    <w:rsid w:val="5ED879CC"/>
    <w:rsid w:val="5F0454EA"/>
    <w:rsid w:val="5F06668D"/>
    <w:rsid w:val="5F116624"/>
    <w:rsid w:val="5F797C86"/>
    <w:rsid w:val="5FD01870"/>
    <w:rsid w:val="60235E44"/>
    <w:rsid w:val="602F37F0"/>
    <w:rsid w:val="60483AFC"/>
    <w:rsid w:val="60553502"/>
    <w:rsid w:val="60583D40"/>
    <w:rsid w:val="608C09CC"/>
    <w:rsid w:val="60E303C2"/>
    <w:rsid w:val="60EA6962"/>
    <w:rsid w:val="60EC26DA"/>
    <w:rsid w:val="60EE1FAE"/>
    <w:rsid w:val="60F56A97"/>
    <w:rsid w:val="61110FCE"/>
    <w:rsid w:val="61204131"/>
    <w:rsid w:val="614222FA"/>
    <w:rsid w:val="61693D2A"/>
    <w:rsid w:val="618C33ED"/>
    <w:rsid w:val="618D7A19"/>
    <w:rsid w:val="61A42FB4"/>
    <w:rsid w:val="622C5484"/>
    <w:rsid w:val="62500696"/>
    <w:rsid w:val="62662018"/>
    <w:rsid w:val="62850378"/>
    <w:rsid w:val="62922E0D"/>
    <w:rsid w:val="62A9366C"/>
    <w:rsid w:val="62B15989"/>
    <w:rsid w:val="62C44768"/>
    <w:rsid w:val="62EC4C13"/>
    <w:rsid w:val="63352116"/>
    <w:rsid w:val="633769A9"/>
    <w:rsid w:val="635D069E"/>
    <w:rsid w:val="63AA2F6D"/>
    <w:rsid w:val="63D062E3"/>
    <w:rsid w:val="63E94CAF"/>
    <w:rsid w:val="642345CA"/>
    <w:rsid w:val="64393E88"/>
    <w:rsid w:val="643C6AED"/>
    <w:rsid w:val="64713622"/>
    <w:rsid w:val="6485002B"/>
    <w:rsid w:val="64AF7CA6"/>
    <w:rsid w:val="64BA3F18"/>
    <w:rsid w:val="64DD5792"/>
    <w:rsid w:val="64DE67DD"/>
    <w:rsid w:val="651641C9"/>
    <w:rsid w:val="6525440C"/>
    <w:rsid w:val="65293EFC"/>
    <w:rsid w:val="653A7EB8"/>
    <w:rsid w:val="657F1D6E"/>
    <w:rsid w:val="65856C59"/>
    <w:rsid w:val="658D448B"/>
    <w:rsid w:val="65C9123C"/>
    <w:rsid w:val="65D11E9E"/>
    <w:rsid w:val="65EB7404"/>
    <w:rsid w:val="66285F62"/>
    <w:rsid w:val="665A078F"/>
    <w:rsid w:val="670E33AA"/>
    <w:rsid w:val="67786A75"/>
    <w:rsid w:val="677D5E3A"/>
    <w:rsid w:val="67DB7004"/>
    <w:rsid w:val="67E768AA"/>
    <w:rsid w:val="680447AD"/>
    <w:rsid w:val="680F6B7F"/>
    <w:rsid w:val="682329EA"/>
    <w:rsid w:val="683F57E5"/>
    <w:rsid w:val="68424832"/>
    <w:rsid w:val="68E54AE2"/>
    <w:rsid w:val="68F77E6E"/>
    <w:rsid w:val="691F431B"/>
    <w:rsid w:val="69277AD1"/>
    <w:rsid w:val="69507896"/>
    <w:rsid w:val="69787200"/>
    <w:rsid w:val="69992CD3"/>
    <w:rsid w:val="69A27DD9"/>
    <w:rsid w:val="69C9180A"/>
    <w:rsid w:val="69CA3230"/>
    <w:rsid w:val="6A8C42A6"/>
    <w:rsid w:val="6AB44A88"/>
    <w:rsid w:val="6B572E46"/>
    <w:rsid w:val="6BC56001"/>
    <w:rsid w:val="6BC71D79"/>
    <w:rsid w:val="6BDF70C3"/>
    <w:rsid w:val="6BEF1186"/>
    <w:rsid w:val="6C3D4C22"/>
    <w:rsid w:val="6C4C04D0"/>
    <w:rsid w:val="6C550199"/>
    <w:rsid w:val="6C564DD5"/>
    <w:rsid w:val="6C660A88"/>
    <w:rsid w:val="6CA43E69"/>
    <w:rsid w:val="6D0D7DE6"/>
    <w:rsid w:val="6D401DE3"/>
    <w:rsid w:val="6D5533B5"/>
    <w:rsid w:val="6D7B72BF"/>
    <w:rsid w:val="6DB93944"/>
    <w:rsid w:val="6DDE33AA"/>
    <w:rsid w:val="6E146DCC"/>
    <w:rsid w:val="6E494CC8"/>
    <w:rsid w:val="6E6B222A"/>
    <w:rsid w:val="6ED24CBD"/>
    <w:rsid w:val="6ED70525"/>
    <w:rsid w:val="6F024E2F"/>
    <w:rsid w:val="6F173018"/>
    <w:rsid w:val="6F255735"/>
    <w:rsid w:val="6F5979D7"/>
    <w:rsid w:val="6FA84376"/>
    <w:rsid w:val="6FBE0D36"/>
    <w:rsid w:val="70087110"/>
    <w:rsid w:val="705636CC"/>
    <w:rsid w:val="709C34A3"/>
    <w:rsid w:val="70D17DAD"/>
    <w:rsid w:val="71070737"/>
    <w:rsid w:val="716D5171"/>
    <w:rsid w:val="718445AA"/>
    <w:rsid w:val="71AF7537"/>
    <w:rsid w:val="71B33DA4"/>
    <w:rsid w:val="722905FA"/>
    <w:rsid w:val="725B146D"/>
    <w:rsid w:val="72B8241C"/>
    <w:rsid w:val="72DE0805"/>
    <w:rsid w:val="7306587D"/>
    <w:rsid w:val="735071F1"/>
    <w:rsid w:val="73685BF0"/>
    <w:rsid w:val="73702CF6"/>
    <w:rsid w:val="739E7864"/>
    <w:rsid w:val="73FB2F08"/>
    <w:rsid w:val="742C4357"/>
    <w:rsid w:val="74324450"/>
    <w:rsid w:val="743B50B2"/>
    <w:rsid w:val="74B82BA7"/>
    <w:rsid w:val="74CE5F27"/>
    <w:rsid w:val="74E514C2"/>
    <w:rsid w:val="74FA336A"/>
    <w:rsid w:val="752B5127"/>
    <w:rsid w:val="75377F70"/>
    <w:rsid w:val="75610B49"/>
    <w:rsid w:val="75EB0D5A"/>
    <w:rsid w:val="75F61BD9"/>
    <w:rsid w:val="76275304"/>
    <w:rsid w:val="763E2968"/>
    <w:rsid w:val="763E56BC"/>
    <w:rsid w:val="765B5EE0"/>
    <w:rsid w:val="767945B8"/>
    <w:rsid w:val="76901DB2"/>
    <w:rsid w:val="76A64435"/>
    <w:rsid w:val="76CC39E4"/>
    <w:rsid w:val="76FB1E6F"/>
    <w:rsid w:val="77130569"/>
    <w:rsid w:val="77212C85"/>
    <w:rsid w:val="774C75D7"/>
    <w:rsid w:val="775070C7"/>
    <w:rsid w:val="78177BE5"/>
    <w:rsid w:val="78212811"/>
    <w:rsid w:val="78216CB5"/>
    <w:rsid w:val="78283BA0"/>
    <w:rsid w:val="784D3606"/>
    <w:rsid w:val="785250C1"/>
    <w:rsid w:val="78882890"/>
    <w:rsid w:val="78911745"/>
    <w:rsid w:val="7892370F"/>
    <w:rsid w:val="78E57CE3"/>
    <w:rsid w:val="78EB3317"/>
    <w:rsid w:val="79142376"/>
    <w:rsid w:val="7936053E"/>
    <w:rsid w:val="795766F4"/>
    <w:rsid w:val="79694470"/>
    <w:rsid w:val="79B77DBE"/>
    <w:rsid w:val="79D33FDF"/>
    <w:rsid w:val="79F0693F"/>
    <w:rsid w:val="7A186697"/>
    <w:rsid w:val="7A2931E5"/>
    <w:rsid w:val="7A320D06"/>
    <w:rsid w:val="7A5073DE"/>
    <w:rsid w:val="7A7B08FF"/>
    <w:rsid w:val="7A9B4AFD"/>
    <w:rsid w:val="7A9D7DA8"/>
    <w:rsid w:val="7AC83418"/>
    <w:rsid w:val="7AD62C51"/>
    <w:rsid w:val="7B3311D9"/>
    <w:rsid w:val="7B3C43AC"/>
    <w:rsid w:val="7B931C78"/>
    <w:rsid w:val="7B9F061D"/>
    <w:rsid w:val="7B9F3C35"/>
    <w:rsid w:val="7BC6204D"/>
    <w:rsid w:val="7BDD535C"/>
    <w:rsid w:val="7BF344C5"/>
    <w:rsid w:val="7C694787"/>
    <w:rsid w:val="7CAA2823"/>
    <w:rsid w:val="7CC16371"/>
    <w:rsid w:val="7CDE6F23"/>
    <w:rsid w:val="7CF46746"/>
    <w:rsid w:val="7D5D078F"/>
    <w:rsid w:val="7D787377"/>
    <w:rsid w:val="7D8A0E59"/>
    <w:rsid w:val="7D9119B2"/>
    <w:rsid w:val="7DBB3B87"/>
    <w:rsid w:val="7DBD598B"/>
    <w:rsid w:val="7DE62533"/>
    <w:rsid w:val="7DE7443E"/>
    <w:rsid w:val="7E0E1A8A"/>
    <w:rsid w:val="7E3C2153"/>
    <w:rsid w:val="7E3F39F1"/>
    <w:rsid w:val="7E555ACA"/>
    <w:rsid w:val="7ECE4181"/>
    <w:rsid w:val="7EFC3D40"/>
    <w:rsid w:val="7F1F3593"/>
    <w:rsid w:val="7F875650"/>
    <w:rsid w:val="7F933E41"/>
    <w:rsid w:val="7F9935D5"/>
    <w:rsid w:val="7F9E4FC7"/>
    <w:rsid w:val="7FD74F4A"/>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Normal Indent"/>
    <w:basedOn w:val="1"/>
    <w:unhideWhenUsed/>
    <w:qFormat/>
    <w:uiPriority w:val="99"/>
    <w:pPr>
      <w:ind w:firstLine="420"/>
    </w:pPr>
    <w:rPr>
      <w:rFonts w:ascii="Times New Roman" w:hAnsi="Times New Roman"/>
      <w:szCs w:val="20"/>
    </w:rPr>
  </w:style>
  <w:style w:type="paragraph" w:styleId="4">
    <w:name w:val="Body Text"/>
    <w:basedOn w:val="1"/>
    <w:qFormat/>
    <w:uiPriority w:val="0"/>
    <w:pPr>
      <w:spacing w:after="120"/>
    </w:pPr>
    <w:rPr>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paragraph" w:styleId="9">
    <w:name w:val="Body Text First Indent 2"/>
    <w:basedOn w:val="1"/>
    <w:next w:val="1"/>
    <w:unhideWhenUsed/>
    <w:qFormat/>
    <w:uiPriority w:val="99"/>
    <w:pPr>
      <w:ind w:firstLine="420" w:firstLineChars="200"/>
    </w:pPr>
    <w:rPr>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338DE6"/>
      <w:u w:val="none"/>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cucd-0"/>
    <w:basedOn w:val="1"/>
    <w:qFormat/>
    <w:uiPriority w:val="0"/>
    <w:pPr>
      <w:keepNext w:val="0"/>
      <w:keepLines w:val="0"/>
      <w:widowControl/>
      <w:suppressLineNumbers w:val="0"/>
      <w:spacing w:before="0" w:beforeAutospacing="0" w:after="0" w:afterAutospacing="0" w:line="360" w:lineRule="auto"/>
      <w:ind w:left="0" w:right="0" w:firstLine="480" w:firstLineChars="200"/>
      <w:jc w:val="left"/>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4413</Words>
  <Characters>4639</Characters>
  <Lines>1</Lines>
  <Paragraphs>1</Paragraphs>
  <TotalTime>10</TotalTime>
  <ScaleCrop>false</ScaleCrop>
  <LinksUpToDate>false</LinksUpToDate>
  <CharactersWithSpaces>4730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2022-10-10T02:16:39Z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