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1079-2022-E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陕西澄合经纬新材料有限公司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 澄合经纬新材料有限公司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陕西省渭南市合阳县王村镇王村矿</w:t>
            </w:r>
            <w:bookmarkEnd w:id="6"/>
          </w:p>
        </w:tc>
        <w:tc>
          <w:tcPr>
            <w:tcW w:w="1242" w:type="dxa"/>
            <w:vMerge w:val="restart"/>
            <w:vAlign w:val="center"/>
          </w:tcPr>
          <w:p>
            <w:r>
              <w:rPr>
                <w:rFonts w:hint="eastAsia"/>
              </w:rPr>
              <w:t>邮编</w:t>
            </w:r>
          </w:p>
        </w:tc>
        <w:tc>
          <w:tcPr>
            <w:tcW w:w="1771" w:type="dxa"/>
          </w:tcPr>
          <w:p>
            <w:bookmarkStart w:id="7" w:name="注册邮编"/>
            <w:r>
              <w:t>715300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西安市雁塔区延兴门西路755号 国家大学科技园科创孵化基地2号楼 A座705室</w:t>
            </w:r>
            <w:bookmarkEnd w:id="8"/>
          </w:p>
        </w:tc>
        <w:tc>
          <w:tcPr>
            <w:tcW w:w="1242" w:type="dxa"/>
            <w:vMerge w:val="continue"/>
            <w:vAlign w:val="center"/>
          </w:tcPr>
          <w:p/>
        </w:tc>
        <w:tc>
          <w:tcPr>
            <w:tcW w:w="1771" w:type="dxa"/>
          </w:tcPr>
          <w:p>
            <w:bookmarkStart w:id="9" w:name="办公邮编"/>
            <w:r>
              <w:t>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魏良辰</w:t>
            </w:r>
            <w:bookmarkEnd w:id="10"/>
          </w:p>
        </w:tc>
        <w:tc>
          <w:tcPr>
            <w:tcW w:w="1313" w:type="dxa"/>
            <w:vAlign w:val="center"/>
          </w:tcPr>
          <w:p>
            <w:r>
              <w:rPr>
                <w:rFonts w:hint="eastAsia"/>
              </w:rPr>
              <w:t>电话.</w:t>
            </w:r>
          </w:p>
        </w:tc>
        <w:tc>
          <w:tcPr>
            <w:tcW w:w="2180" w:type="dxa"/>
            <w:vAlign w:val="center"/>
          </w:tcPr>
          <w:p>
            <w:bookmarkStart w:id="11" w:name="联系人电话"/>
            <w:r>
              <w:t>13909331518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吉茂虎</w:t>
            </w:r>
            <w:bookmarkEnd w:id="13"/>
          </w:p>
        </w:tc>
        <w:tc>
          <w:tcPr>
            <w:tcW w:w="1313" w:type="dxa"/>
            <w:vAlign w:val="center"/>
          </w:tcPr>
          <w:p>
            <w:r>
              <w:rPr>
                <w:rFonts w:hint="eastAsia"/>
              </w:rPr>
              <w:t>管理者代表</w:t>
            </w:r>
          </w:p>
        </w:tc>
        <w:tc>
          <w:tcPr>
            <w:tcW w:w="2180" w:type="dxa"/>
          </w:tcPr>
          <w:p>
            <w:bookmarkStart w:id="14" w:name="管理者代表"/>
            <w:r>
              <w:t>魏良辰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eastAsia="宋体"/>
                <w:color w:val="000000"/>
                <w:lang w:eastAsia="zh-CN"/>
              </w:rPr>
            </w:pPr>
            <w:r>
              <w:rPr>
                <w:rFonts w:hint="eastAsia"/>
              </w:rPr>
              <w:t>销售流程图：签到销售合同-采购物资-发货-交付验收-结算</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2022年09月22日 上午至2022年09月23日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西安市雁塔区延兴门西路755号 国家大学科技园科创孵化基地2号楼 A座705室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煤矿用钢丝网骨架聚乙烯液体管材、聚乙烯(PE)管材、矿山机械、塑料制品销售所涉及场所的相关环境管理活动。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陕西澄合经纬新材料有限公司</w:t>
            </w:r>
          </w:p>
          <w:p>
            <w:pPr>
              <w:spacing w:before="40" w:after="40"/>
              <w:rPr>
                <w:lang w:val="de-DE" w:eastAsia="ja-JP"/>
              </w:rPr>
            </w:pPr>
            <w:r>
              <w:rPr>
                <w:sz w:val="21"/>
                <w:szCs w:val="21"/>
              </w:rPr>
              <w:t>陕西省渭南市合阳县王村镇王村矿</w:t>
            </w:r>
          </w:p>
        </w:tc>
        <w:tc>
          <w:tcPr>
            <w:tcW w:w="2267" w:type="dxa"/>
            <w:vAlign w:val="top"/>
          </w:tcPr>
          <w:p>
            <w:pPr>
              <w:spacing w:before="40" w:after="40"/>
              <w:rPr>
                <w:lang w:val="de-DE" w:eastAsia="ja-JP"/>
              </w:rPr>
            </w:pPr>
            <w:r>
              <w:rPr>
                <w:sz w:val="21"/>
                <w:szCs w:val="21"/>
              </w:rPr>
              <w:t>西安市雁塔区延兴门西路755号 国家大学科技园科创孵化基地2号楼 A座705室</w:t>
            </w:r>
          </w:p>
        </w:tc>
        <w:tc>
          <w:tcPr>
            <w:tcW w:w="571" w:type="dxa"/>
            <w:vAlign w:val="center"/>
          </w:tcPr>
          <w:p>
            <w:pPr>
              <w:spacing w:before="40" w:after="40"/>
              <w:rPr>
                <w:lang w:eastAsia="ja-JP"/>
              </w:rPr>
            </w:pPr>
            <w:r>
              <w:rPr>
                <w:rFonts w:hint="eastAsia" w:eastAsia="黑体"/>
                <w:szCs w:val="21"/>
                <w:lang w:val="en-US" w:eastAsia="zh-CN"/>
              </w:rPr>
              <w:t>10</w:t>
            </w:r>
          </w:p>
        </w:tc>
        <w:tc>
          <w:tcPr>
            <w:tcW w:w="2803" w:type="dxa"/>
            <w:vAlign w:val="center"/>
          </w:tcPr>
          <w:p>
            <w:pPr>
              <w:pStyle w:val="20"/>
              <w:rPr>
                <w:lang w:eastAsia="ja-JP"/>
              </w:rPr>
            </w:pPr>
            <w:r>
              <w:t>煤矿用钢丝网骨架聚乙烯液体管材、聚乙烯(PE)管材、矿山机械、塑料制品销售所涉及场所的相关环境管理活动。</w:t>
            </w:r>
          </w:p>
        </w:tc>
        <w:tc>
          <w:tcPr>
            <w:tcW w:w="669" w:type="dxa"/>
            <w:vAlign w:val="center"/>
          </w:tcPr>
          <w:p>
            <w:pPr>
              <w:spacing w:before="40" w:after="40"/>
              <w:rPr>
                <w:lang w:eastAsia="ja-JP"/>
              </w:rPr>
            </w:pPr>
            <w:r>
              <w:rPr>
                <w:rFonts w:hint="eastAsia" w:ascii="宋体" w:hAnsi="宋体"/>
                <w:b/>
                <w:sz w:val="21"/>
                <w:szCs w:val="21"/>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lang w:eastAsia="zh-CN"/>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391795</wp:posOffset>
                  </wp:positionH>
                  <wp:positionV relativeFrom="paragraph">
                    <wp:posOffset>68580</wp:posOffset>
                  </wp:positionV>
                  <wp:extent cx="390525" cy="300355"/>
                  <wp:effectExtent l="0" t="0" r="3175" b="444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90525" cy="300355"/>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Times New Roman" w:hAnsi="Times New Roman" w:eastAsia="宋体" w:cs="Times New Roman"/>
                <w:lang w:val="en-US" w:eastAsia="zh-CN"/>
              </w:rPr>
              <w:t>2022.9.23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rPr>
                    <w:t>□政治</w:t>
                  </w:r>
                  <w:r>
                    <w:rPr>
                      <w:rFonts w:hint="eastAsia"/>
                      <w:lang w:eastAsia="zh-CN"/>
                    </w:rPr>
                    <w:t>☑</w:t>
                  </w:r>
                  <w:r>
                    <w:rPr>
                      <w:rFonts w:hint="eastAsia"/>
                    </w:rPr>
                    <w:t>监管□财务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widowControl/>
              <w:spacing w:before="40" w:line="360" w:lineRule="auto"/>
              <w:ind w:firstLine="420" w:firstLineChars="200"/>
              <w:jc w:val="left"/>
              <w:rPr>
                <w:u w:val="single"/>
              </w:rPr>
            </w:pPr>
            <w:r>
              <w:rPr>
                <w:rFonts w:hint="eastAsia"/>
                <w:color w:val="000000"/>
                <w:szCs w:val="18"/>
              </w:rPr>
              <w:t>节能降耗；预防污染；遵纪守法；持续改进；保护环境；造福社会。</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来自当地环保部门的监察</w:t>
                  </w:r>
                </w:p>
              </w:tc>
              <w:tc>
                <w:tcPr>
                  <w:tcW w:w="3965" w:type="dxa"/>
                  <w:vAlign w:val="top"/>
                </w:tcPr>
                <w:p>
                  <w:pPr>
                    <w:shd w:val="clear" w:color="auto" w:fill="EBF1DE" w:themeFill="accent3" w:themeFillTint="32"/>
                  </w:pPr>
                  <w:r>
                    <w:rPr>
                      <w:rFonts w:hint="eastAsia"/>
                      <w:lang w:val="en-US" w:eastAsia="zh-CN"/>
                    </w:rPr>
                    <w:t>合规合法经营</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潜在火灾</w:t>
                  </w:r>
                </w:p>
              </w:tc>
              <w:tc>
                <w:tcPr>
                  <w:tcW w:w="3965" w:type="dxa"/>
                  <w:vAlign w:val="top"/>
                </w:tcPr>
                <w:p>
                  <w:pPr>
                    <w:shd w:val="clear" w:color="auto" w:fill="EBF1DE" w:themeFill="accent3" w:themeFillTint="32"/>
                  </w:pPr>
                  <w:r>
                    <w:rPr>
                      <w:rFonts w:hint="eastAsia"/>
                      <w:lang w:val="en-US" w:eastAsia="zh-CN"/>
                    </w:rPr>
                    <w:t>加强安全消防意识，配备灭火器材</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废弃物未按照要求处置</w:t>
                  </w:r>
                </w:p>
              </w:tc>
              <w:tc>
                <w:tcPr>
                  <w:tcW w:w="3965" w:type="dxa"/>
                  <w:vAlign w:val="top"/>
                </w:tcPr>
                <w:p>
                  <w:pPr>
                    <w:shd w:val="clear" w:color="auto" w:fill="EBF1DE" w:themeFill="accent3" w:themeFillTint="32"/>
                  </w:pPr>
                  <w:r>
                    <w:rPr>
                      <w:rFonts w:hint="eastAsia"/>
                      <w:lang w:val="en-US" w:eastAsia="zh-CN"/>
                    </w:rPr>
                    <w:t>交由物业处理单位统一处理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eastAsia="宋体" w:cs="Times New Roman"/>
                      <w:lang w:val="en-US" w:eastAsia="zh-CN"/>
                    </w:rPr>
                    <w:t>火灾事故为0</w:t>
                  </w:r>
                </w:p>
              </w:tc>
              <w:tc>
                <w:tcPr>
                  <w:tcW w:w="3136" w:type="dxa"/>
                  <w:shd w:val="clear" w:color="auto" w:fill="auto"/>
                  <w:vAlign w:val="top"/>
                </w:tcPr>
                <w:p>
                  <w:pPr>
                    <w:shd w:val="clear" w:color="auto" w:fill="EBF1DE" w:themeFill="accent3" w:themeFillTint="32"/>
                    <w:rPr>
                      <w:lang w:val="en-GB"/>
                    </w:rPr>
                  </w:pPr>
                  <w:r>
                    <w:rPr>
                      <w:rFonts w:hint="eastAsia"/>
                      <w:lang w:val="en-US" w:eastAsia="zh-CN"/>
                    </w:rPr>
                    <w:t>加强安全消防意识，配备灭火器材</w:t>
                  </w:r>
                </w:p>
              </w:tc>
              <w:tc>
                <w:tcPr>
                  <w:tcW w:w="1350" w:type="dxa"/>
                  <w:shd w:val="clear" w:color="auto" w:fill="auto"/>
                  <w:vAlign w:val="top"/>
                </w:tcPr>
                <w:p>
                  <w:pPr>
                    <w:shd w:val="clear" w:color="auto" w:fill="EBF1DE" w:themeFill="accent3" w:themeFillTint="32"/>
                    <w:rPr>
                      <w:lang w:val="en-GB"/>
                    </w:rPr>
                  </w:pPr>
                  <w:r>
                    <w:rPr>
                      <w:rFonts w:hint="eastAsia" w:ascii="Times New Roman" w:hAnsi="Times New Roman" w:eastAsia="宋体" w:cs="Times New Roman"/>
                      <w:kern w:val="2"/>
                      <w:sz w:val="21"/>
                      <w:szCs w:val="24"/>
                      <w:lang w:val="en-US" w:eastAsia="zh-CN" w:bidi="ar-SA"/>
                    </w:rPr>
                    <w:t>行政部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eastAsia="宋体" w:cs="Times New Roman"/>
                      <w:lang w:val="en-US" w:eastAsia="zh-CN"/>
                    </w:rPr>
                    <w:t>固体废弃物100%分类集中处理</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配备垃圾分类箱</w:t>
                  </w:r>
                </w:p>
              </w:tc>
              <w:tc>
                <w:tcPr>
                  <w:tcW w:w="1350" w:type="dxa"/>
                  <w:shd w:val="clear" w:color="auto" w:fill="auto"/>
                  <w:vAlign w:val="center"/>
                </w:tcPr>
                <w:p>
                  <w:pPr>
                    <w:shd w:val="clear" w:color="auto" w:fill="EBF1DE" w:themeFill="accent3" w:themeFillTint="32"/>
                    <w:rPr>
                      <w:rFonts w:ascii="宋体" w:hAnsi="宋体"/>
                    </w:rPr>
                  </w:pPr>
                  <w:r>
                    <w:rPr>
                      <w:rFonts w:hint="eastAsia" w:ascii="Times New Roman" w:hAnsi="Times New Roman" w:eastAsia="宋体" w:cs="Times New Roman"/>
                      <w:kern w:val="2"/>
                      <w:sz w:val="21"/>
                      <w:szCs w:val="24"/>
                      <w:lang w:val="en-US" w:eastAsia="zh-CN" w:bidi="ar-SA"/>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eastAsia="宋体" w:cs="Times New Roman"/>
                      <w:lang w:val="en-US" w:eastAsia="zh-CN"/>
                    </w:rPr>
                    <w:t>环境污染事故为0</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增强员工环境保护意识</w:t>
                  </w:r>
                </w:p>
              </w:tc>
              <w:tc>
                <w:tcPr>
                  <w:tcW w:w="1350" w:type="dxa"/>
                  <w:shd w:val="clear" w:color="auto" w:fill="auto"/>
                  <w:vAlign w:val="center"/>
                </w:tcPr>
                <w:p>
                  <w:pPr>
                    <w:shd w:val="clear" w:color="auto" w:fill="EBF1DE" w:themeFill="accent3" w:themeFillTint="32"/>
                    <w:rPr>
                      <w:rFonts w:ascii="宋体" w:hAnsi="宋体"/>
                    </w:rPr>
                  </w:pPr>
                  <w:r>
                    <w:rPr>
                      <w:rFonts w:hint="eastAsia" w:ascii="Times New Roman" w:hAnsi="Times New Roman" w:eastAsia="宋体" w:cs="Times New Roman"/>
                      <w:kern w:val="2"/>
                      <w:sz w:val="21"/>
                      <w:szCs w:val="24"/>
                      <w:lang w:val="en-US" w:eastAsia="zh-CN" w:bidi="ar-SA"/>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建筑面积平方180米；生产车间</w:t>
            </w:r>
            <w:r>
              <w:rPr>
                <w:rFonts w:hint="eastAsia"/>
                <w:lang w:val="en-US" w:eastAsia="zh-CN"/>
              </w:rPr>
              <w:t xml:space="preserve"> </w:t>
            </w:r>
            <w:r>
              <w:rPr>
                <w:rFonts w:hint="eastAsia"/>
              </w:rPr>
              <w:t>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val="en-US" w:eastAsia="zh-CN"/>
              </w:rPr>
              <w:t xml:space="preserve">计算机电脑、打印机 </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垃圾分类箱、灭火器</w:t>
            </w:r>
            <w:r>
              <w:rPr>
                <w:rFonts w:hint="eastAsia"/>
                <w:u w:val="single"/>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rPr>
                <w:rFonts w:hint="eastAsia" w:eastAsia="宋体"/>
                <w:lang w:eastAsia="zh-CN"/>
              </w:rPr>
            </w:pPr>
            <w:r>
              <w:rPr>
                <w:rFonts w:hint="eastAsia"/>
              </w:rPr>
              <w:t>提供 《法律法规清单》未收集当地环境、消防相关的法规要求</w:t>
            </w:r>
            <w:r>
              <w:rPr>
                <w:rFonts w:hint="eastAsia"/>
                <w:lang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lang w:val="en-US" w:eastAsia="zh-CN"/>
                    </w:rPr>
                    <w:t>服务</w:t>
                  </w:r>
                  <w:r>
                    <w:rPr>
                      <w:rFonts w:hint="eastAsia"/>
                      <w:szCs w:val="22"/>
                    </w:rPr>
                    <w:t>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办公耗材的消耗，合理使用，减少浪费。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pStyle w:val="2"/>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于2022年6月20日进行了的演练；并总结了预案的可行性和有效性。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定期（每年）：2022.8.2</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通过年度策划于2022.8.4-8.5实施了环境管理体系内部审核，对环境管理体系的符合性和有效性进行了审核。内审发现的项不符合在本次审核前已完成整改。在公司内完成的这些审核是可信的。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最高管理者已按策划的时间间隔，在2022.8.15对组织的环境管理体系进行了评审，以确保其持续的适宜性、充分性和有效性；管理评审输入、输出均按要求提供。并对提出的改进措施进行了落实。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73386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2022-09-22T05:53:42Z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