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7" w:firstLineChars="49"/>
        <w:jc w:val="right"/>
        <w:rPr>
          <w:rFonts w:hint="default" w:ascii="Times New Roman" w:hAnsi="Times New Roman" w:cs="Times New Roman"/>
          <w:b w:val="0"/>
          <w:bCs w:val="0"/>
          <w:color w:val="000000"/>
          <w:sz w:val="24"/>
          <w:szCs w:val="24"/>
        </w:rPr>
      </w:pPr>
      <w:r>
        <w:rPr>
          <w:rFonts w:hint="default" w:ascii="Times New Roman" w:hAnsi="Times New Roman" w:eastAsia="楷体" w:cs="Times New Roman"/>
          <w:b w:val="0"/>
          <w:bCs w:val="0"/>
          <w:color w:val="000000"/>
          <w:sz w:val="24"/>
          <w:szCs w:val="24"/>
        </w:rPr>
        <w:t xml:space="preserve">合同编号： </w:t>
      </w:r>
      <w:bookmarkStart w:id="0" w:name="合同编号"/>
      <w:r>
        <w:rPr>
          <w:sz w:val="20"/>
        </w:rPr>
        <w:t>0623-2019-E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嘉兴康马士箱包有限公司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81"/>
        <w:gridCol w:w="313"/>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9"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2"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81" w:type="dxa"/>
            <w:vAlign w:val="center"/>
          </w:tcPr>
          <w:p>
            <w:pPr>
              <w:rPr>
                <w:b/>
                <w:color w:val="000000"/>
                <w:sz w:val="20"/>
                <w:szCs w:val="20"/>
              </w:rPr>
            </w:pPr>
            <w:r>
              <w:rPr>
                <w:rFonts w:hint="eastAsia"/>
                <w:b/>
                <w:color w:val="000000"/>
                <w:sz w:val="20"/>
                <w:szCs w:val="20"/>
              </w:rPr>
              <w:t>邮箱</w:t>
            </w:r>
          </w:p>
        </w:tc>
        <w:tc>
          <w:tcPr>
            <w:tcW w:w="2492"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rFonts w:hint="eastAsia" w:eastAsia="宋体"/>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71" w:type="dxa"/>
            <w:vAlign w:val="center"/>
          </w:tcPr>
          <w:p>
            <w:pPr>
              <w:spacing w:line="240" w:lineRule="exact"/>
              <w:jc w:val="center"/>
              <w:rPr>
                <w:b/>
                <w:color w:val="000000"/>
                <w:sz w:val="20"/>
                <w:szCs w:val="20"/>
              </w:rPr>
            </w:pPr>
            <w:r>
              <w:rPr>
                <w:sz w:val="20"/>
              </w:rPr>
              <w:t>冯涛</w:t>
            </w:r>
          </w:p>
        </w:tc>
        <w:tc>
          <w:tcPr>
            <w:tcW w:w="851" w:type="dxa"/>
            <w:gridSpan w:val="2"/>
            <w:vAlign w:val="center"/>
          </w:tcPr>
          <w:p>
            <w:pPr>
              <w:spacing w:line="240" w:lineRule="exact"/>
              <w:jc w:val="center"/>
              <w:rPr>
                <w:rFonts w:hint="eastAsia" w:eastAsia="宋体"/>
                <w:sz w:val="18"/>
                <w:szCs w:val="18"/>
                <w:lang w:val="en-US" w:eastAsia="zh-CN"/>
              </w:rPr>
            </w:pPr>
            <w:r>
              <w:rPr>
                <w:rFonts w:hint="eastAsia"/>
                <w:sz w:val="18"/>
                <w:szCs w:val="18"/>
                <w:lang w:val="en-US" w:eastAsia="zh-CN"/>
              </w:rPr>
              <w:t>组员</w:t>
            </w:r>
          </w:p>
        </w:tc>
        <w:tc>
          <w:tcPr>
            <w:tcW w:w="1417"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男</w:t>
            </w:r>
          </w:p>
        </w:tc>
        <w:tc>
          <w:tcPr>
            <w:tcW w:w="3402" w:type="dxa"/>
            <w:gridSpan w:val="4"/>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专家</w:t>
            </w:r>
          </w:p>
        </w:tc>
        <w:tc>
          <w:tcPr>
            <w:tcW w:w="2179" w:type="dxa"/>
            <w:gridSpan w:val="2"/>
            <w:vAlign w:val="center"/>
          </w:tcPr>
          <w:p>
            <w:pPr>
              <w:spacing w:line="240" w:lineRule="exact"/>
              <w:jc w:val="center"/>
              <w:rPr>
                <w:rFonts w:hint="eastAsia"/>
                <w:b/>
                <w:color w:val="000000"/>
                <w:sz w:val="20"/>
                <w:szCs w:val="20"/>
                <w:lang w:val="en-US" w:eastAsia="zh-CN"/>
              </w:rPr>
            </w:pPr>
            <w:bookmarkStart w:id="2" w:name="专业代码"/>
            <w:r>
              <w:rPr>
                <w:sz w:val="20"/>
              </w:rPr>
              <w:t>05.01.02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职业健康安全管理体系,环境管理体系,质量管理体系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rPr>
          <w:rFonts w:ascii="宋体"/>
          <w:b/>
          <w:color w:val="000000"/>
          <w:sz w:val="20"/>
          <w:szCs w:val="20"/>
        </w:rPr>
      </w:pPr>
      <w:r>
        <w:rPr>
          <w:rFonts w:hint="eastAsia" w:ascii="宋体" w:hAnsi="宋体"/>
          <w:b/>
          <w:color w:val="000000"/>
          <w:spacing w:val="-8"/>
          <w:sz w:val="26"/>
          <w:szCs w:val="26"/>
        </w:rPr>
        <w:t>三、审核准则</w:t>
      </w:r>
    </w:p>
    <w:p>
      <w:pPr>
        <w:spacing w:line="300" w:lineRule="auto"/>
        <w:ind w:left="420" w:leftChars="200" w:firstLine="201" w:firstLineChars="100"/>
        <w:rPr>
          <w:rFonts w:hint="eastAsia"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bookmarkStart w:id="5" w:name="S勾选Add1"/>
      <w:r>
        <w:rPr>
          <w:rFonts w:hint="eastAsia" w:ascii="宋体" w:hAnsi="宋体"/>
          <w:b/>
          <w:color w:val="000000"/>
          <w:sz w:val="20"/>
          <w:szCs w:val="20"/>
          <w:lang w:val="en-US" w:eastAsia="zh-CN"/>
        </w:rPr>
        <w:t xml:space="preserve">  </w:t>
      </w:r>
      <w:bookmarkEnd w:id="5"/>
      <w:r>
        <w:rPr>
          <w:rFonts w:hint="eastAsia" w:ascii="宋体" w:hAnsi="宋体"/>
          <w:b/>
          <w:color w:val="000000"/>
          <w:sz w:val="20"/>
          <w:szCs w:val="20"/>
          <w:lang w:val="de-DE"/>
        </w:rPr>
        <w:sym w:font="Wingdings" w:char="00A8"/>
      </w:r>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017"/>
        <w:gridCol w:w="736"/>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嘉兴康马士箱包有限公司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529" w:type="dxa"/>
            <w:gridSpan w:val="3"/>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嘉兴市秀洲区油车港嘉兴日商投资区兴港路南侧</w:t>
            </w:r>
          </w:p>
        </w:tc>
        <w:tc>
          <w:tcPr>
            <w:tcW w:w="736"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邮编</w:t>
            </w:r>
          </w:p>
        </w:tc>
        <w:tc>
          <w:tcPr>
            <w:tcW w:w="2227"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val="en-US" w:eastAsia="zh-CN"/>
              </w:rPr>
            </w:pPr>
            <w:bookmarkStart w:id="6" w:name="生产邮编"/>
            <w:r>
              <w:rPr>
                <w:sz w:val="21"/>
                <w:szCs w:val="21"/>
              </w:rPr>
              <w:t>314016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529" w:type="dxa"/>
            <w:gridSpan w:val="3"/>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eastAsia="zh-CN"/>
              </w:rPr>
            </w:pPr>
            <w:bookmarkStart w:id="7" w:name="经营地址"/>
            <w:bookmarkEnd w:id="7"/>
            <w:r>
              <w:rPr>
                <w:rFonts w:hint="eastAsia" w:ascii="宋体"/>
                <w:b/>
                <w:color w:val="000000"/>
                <w:sz w:val="20"/>
                <w:szCs w:val="20"/>
                <w:lang w:eastAsia="zh-CN"/>
              </w:rPr>
              <w:t>嘉兴市秀洲区油车港嘉兴日商投资区兴港路南侧</w:t>
            </w:r>
          </w:p>
        </w:tc>
        <w:tc>
          <w:tcPr>
            <w:tcW w:w="736"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p>
        </w:tc>
        <w:tc>
          <w:tcPr>
            <w:tcW w:w="2227"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val="en-US" w:eastAsia="zh-CN"/>
              </w:rPr>
            </w:pPr>
            <w:bookmarkStart w:id="8" w:name="经营邮编"/>
            <w:bookmarkEnd w:id="8"/>
            <w:r>
              <w:rPr>
                <w:sz w:val="21"/>
                <w:szCs w:val="21"/>
              </w:rPr>
              <w:t>314016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bookmarkStart w:id="9" w:name="联系人"/>
            <w:r>
              <w:rPr>
                <w:sz w:val="21"/>
                <w:szCs w:val="21"/>
              </w:rPr>
              <w:t>梁惠萍</w:t>
            </w:r>
            <w:bookmarkEnd w:id="9"/>
          </w:p>
        </w:tc>
        <w:tc>
          <w:tcPr>
            <w:tcW w:w="146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电话</w:t>
            </w:r>
          </w:p>
        </w:tc>
        <w:tc>
          <w:tcPr>
            <w:tcW w:w="2017"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bookmarkStart w:id="10" w:name="联系人电话"/>
            <w:r>
              <w:rPr>
                <w:sz w:val="21"/>
                <w:szCs w:val="21"/>
              </w:rPr>
              <w:t>0573-83989599</w:t>
            </w:r>
            <w:bookmarkEnd w:id="10"/>
          </w:p>
        </w:tc>
        <w:tc>
          <w:tcPr>
            <w:tcW w:w="73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传真</w:t>
            </w:r>
          </w:p>
        </w:tc>
        <w:tc>
          <w:tcPr>
            <w:tcW w:w="2227"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bookmarkStart w:id="11" w:name="联系人传真Add1"/>
            <w:bookmarkEnd w:id="11"/>
            <w:r>
              <w:rPr>
                <w:sz w:val="21"/>
                <w:szCs w:val="21"/>
              </w:rPr>
              <w:t>0573-8398959</w:t>
            </w: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宋体" w:eastAsia="宋体"/>
                <w:b/>
                <w:color w:val="000000"/>
                <w:sz w:val="20"/>
                <w:szCs w:val="20"/>
                <w:lang w:val="en-US" w:eastAsia="zh-CN"/>
              </w:rPr>
            </w:pPr>
            <w:r>
              <w:rPr>
                <w:rFonts w:hint="eastAsia"/>
                <w:lang w:val="en-US" w:eastAsia="zh-CN"/>
              </w:rPr>
              <w:t>姜钟日</w:t>
            </w:r>
          </w:p>
        </w:tc>
        <w:tc>
          <w:tcPr>
            <w:tcW w:w="1463"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管理者代表</w:t>
            </w:r>
          </w:p>
        </w:tc>
        <w:tc>
          <w:tcPr>
            <w:tcW w:w="2017" w:type="dxa"/>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eastAsia="宋体"/>
                <w:b/>
                <w:color w:val="000000"/>
                <w:sz w:val="20"/>
                <w:szCs w:val="20"/>
                <w:lang w:val="en-US" w:eastAsia="zh-CN"/>
              </w:rPr>
            </w:pPr>
            <w:r>
              <w:rPr>
                <w:rFonts w:hint="eastAsia"/>
                <w:lang w:val="en-US" w:eastAsia="zh-CN"/>
              </w:rPr>
              <w:t>王雅萍</w:t>
            </w:r>
          </w:p>
        </w:tc>
        <w:tc>
          <w:tcPr>
            <w:tcW w:w="736"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b/>
                <w:color w:val="000000"/>
                <w:sz w:val="20"/>
                <w:szCs w:val="20"/>
              </w:rPr>
              <w:t>邮箱</w:t>
            </w:r>
          </w:p>
        </w:tc>
        <w:tc>
          <w:tcPr>
            <w:tcW w:w="22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eastAsia="宋体"/>
                <w:b/>
                <w:color w:val="000000"/>
                <w:sz w:val="20"/>
                <w:szCs w:val="20"/>
                <w:lang w:eastAsia="zh-CN"/>
              </w:rPr>
            </w:pPr>
            <w:bookmarkStart w:id="12" w:name="联系人邮箱Add1"/>
            <w:bookmarkEnd w:id="12"/>
            <w:r>
              <w:rPr>
                <w:rFonts w:hint="eastAsia"/>
                <w:sz w:val="21"/>
                <w:szCs w:val="21"/>
              </w:rPr>
              <w:t>kanmash@komacs.com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b/>
                <w:color w:val="000000"/>
                <w:sz w:val="20"/>
                <w:szCs w:val="20"/>
                <w:lang w:eastAsia="zh-CN"/>
              </w:rPr>
            </w:pPr>
            <w:bookmarkStart w:id="13" w:name="审核范围"/>
            <w:r>
              <w:rPr>
                <w:sz w:val="20"/>
              </w:rPr>
              <w:t>箱包的生产及其所涉及的环境管理活动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eastAsia="宋体"/>
                <w:b/>
                <w:color w:val="000000"/>
                <w:sz w:val="20"/>
                <w:szCs w:val="20"/>
                <w:lang w:eastAsia="zh-CN"/>
              </w:rPr>
            </w:pPr>
            <w:r>
              <w:rPr>
                <w:sz w:val="20"/>
              </w:rPr>
              <w:t>05.01.02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eastAsia="宋体"/>
                <w:b/>
                <w:color w:val="000000"/>
                <w:sz w:val="20"/>
                <w:szCs w:val="20"/>
                <w:lang w:val="en-US" w:eastAsia="zh-CN"/>
              </w:rPr>
            </w:pPr>
            <w:r>
              <w:rPr>
                <w:rFonts w:hint="eastAsia"/>
                <w:sz w:val="21"/>
                <w:szCs w:val="21"/>
                <w:lang w:val="en-US" w:eastAsia="zh-CN"/>
              </w:rPr>
              <w:t>无</w:t>
            </w: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4</w:t>
            </w:r>
            <w:r>
              <w:rPr>
                <w:rFonts w:hint="eastAsia" w:ascii="宋体" w:hAnsi="宋体"/>
                <w:color w:val="000000"/>
                <w:sz w:val="20"/>
                <w:szCs w:val="20"/>
                <w:lang w:eastAsia="zh-CN"/>
              </w:rPr>
              <w:t>）</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sz w:val="20"/>
              </w:rPr>
              <w:t>箱包的生产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行政部、生产部、质检部、采购部、销售部、财务部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行政部、生产部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b/>
                <w:color w:val="000000"/>
                <w:sz w:val="20"/>
                <w:szCs w:val="20"/>
                <w:lang w:val="en-US"/>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嘉兴市秀洲区油车港嘉兴日商投资区兴港路南侧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jc w:val="both"/>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嘉兴市秀洲区油车港嘉兴日商投资区兴港路南侧</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val="en-US" w:eastAsia="zh-CN"/>
              </w:rPr>
              <w:t>或环境影响登记表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color w:val="000000"/>
                <w:sz w:val="20"/>
                <w:szCs w:val="20"/>
                <w:lang w:val="en-US" w:eastAsia="zh-CN"/>
              </w:rPr>
              <w:t>或环境影响登记表批</w:t>
            </w:r>
            <w:r>
              <w:rPr>
                <w:rFonts w:hint="eastAsia" w:ascii="宋体"/>
                <w:color w:val="000000"/>
                <w:sz w:val="20"/>
                <w:szCs w:val="20"/>
              </w:rPr>
              <w:t>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w:t>
            </w:r>
            <w:r>
              <w:rPr>
                <w:rFonts w:hint="eastAsia" w:ascii="宋体"/>
                <w:color w:val="000000"/>
                <w:sz w:val="20"/>
                <w:szCs w:val="20"/>
                <w:lang w:val="en-US" w:eastAsia="zh-CN"/>
              </w:rPr>
              <w:t>登记表</w:t>
            </w:r>
            <w:r>
              <w:rPr>
                <w:rFonts w:hint="eastAsia" w:ascii="宋体"/>
                <w:color w:val="000000"/>
                <w:sz w:val="20"/>
                <w:szCs w:val="20"/>
              </w:rPr>
              <w:t>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GB8979-1996《污水综合排放标准》、GB18483-2001《饮食业油烟排放标准》、GB12348-2008《工业企业厂界噪声标准》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tabs>
                <w:tab w:val="left" w:pos="1754"/>
              </w:tabs>
              <w:kinsoku/>
              <w:wordWrap/>
              <w:overflowPunct/>
              <w:topLinePunct w:val="0"/>
              <w:autoSpaceDE/>
              <w:autoSpaceDN/>
              <w:bidi w:val="0"/>
              <w:adjustRightInd/>
              <w:snapToGrid/>
              <w:spacing w:line="360" w:lineRule="exact"/>
              <w:jc w:val="lef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line="32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16"/>
                <w:szCs w:val="16"/>
                <w:lang w:eastAsia="zh-CN"/>
              </w:rPr>
            </w:pPr>
            <w:r>
              <w:rPr>
                <w:rFonts w:hint="eastAsia" w:ascii="宋体" w:hAnsi="宋体"/>
                <w:b/>
                <w:color w:val="000000"/>
                <w:szCs w:val="21"/>
              </w:rPr>
              <w:t>▲一阶段确认范围与申请评审范围有变化时对人员和审核人日的要求</w:t>
            </w:r>
            <w:r>
              <w:rPr>
                <w:rFonts w:hint="eastAsia" w:ascii="宋体" w:hAnsi="宋体"/>
                <w:b/>
                <w:color w:val="000000"/>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2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keepNext w:val="0"/>
        <w:keepLines w:val="0"/>
        <w:pageBreakBefore w:val="0"/>
        <w:widowControl w:val="0"/>
        <w:kinsoku/>
        <w:wordWrap/>
        <w:overflowPunct/>
        <w:topLinePunct w:val="0"/>
        <w:autoSpaceDE/>
        <w:autoSpaceDN/>
        <w:bidi w:val="0"/>
        <w:adjustRightInd/>
        <w:snapToGrid/>
        <w:spacing w:before="156" w:beforeLines="50" w:line="360" w:lineRule="exact"/>
        <w:textAlignment w:val="auto"/>
        <w:rPr>
          <w:rFonts w:ascii="宋体"/>
          <w:b/>
          <w:color w:val="000000"/>
          <w:sz w:val="26"/>
          <w:szCs w:val="26"/>
        </w:rPr>
      </w:pPr>
      <w:r>
        <w:rPr>
          <w:rFonts w:hint="eastAsia" w:ascii="宋体" w:hAnsi="宋体"/>
          <w:b/>
          <w:color w:val="000000"/>
          <w:sz w:val="26"/>
          <w:szCs w:val="26"/>
        </w:rPr>
        <w:t>十五、一阶段确认的二阶段审核范围</w:t>
      </w:r>
    </w:p>
    <w:p>
      <w:pPr>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b/>
          <w:color w:val="000000"/>
          <w:sz w:val="21"/>
          <w:szCs w:val="21"/>
          <w:lang w:eastAsia="zh-CN"/>
        </w:rPr>
      </w:pPr>
      <w:r>
        <w:rPr>
          <w:sz w:val="21"/>
          <w:szCs w:val="21"/>
        </w:rPr>
        <w:t>箱包的生产及其所涉及的环境管理活动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hint="eastAsia" w:ascii="宋体" w:hAnsi="宋体"/>
          <w:b/>
          <w:color w:val="000000"/>
          <w:sz w:val="20"/>
          <w:szCs w:val="20"/>
        </w:rPr>
      </w:pPr>
    </w:p>
    <w:p>
      <w:pPr>
        <w:keepNext w:val="0"/>
        <w:keepLines w:val="0"/>
        <w:pageBreakBefore w:val="0"/>
        <w:widowControl w:val="0"/>
        <w:kinsoku/>
        <w:wordWrap/>
        <w:overflowPunct/>
        <w:topLinePunct w:val="0"/>
        <w:autoSpaceDE/>
        <w:autoSpaceDN/>
        <w:bidi w:val="0"/>
        <w:adjustRightInd/>
        <w:snapToGrid/>
        <w:spacing w:before="156" w:beforeLines="50" w:after="62" w:afterLines="20" w:line="360" w:lineRule="exact"/>
        <w:textAlignment w:val="auto"/>
        <w:rPr>
          <w:rFonts w:ascii="宋体"/>
          <w:b/>
          <w:bCs/>
          <w:color w:val="000000"/>
          <w:sz w:val="26"/>
          <w:szCs w:val="26"/>
        </w:rPr>
      </w:pPr>
      <w:r>
        <w:rPr>
          <w:rFonts w:hint="eastAsia" w:ascii="宋体" w:hAnsi="宋体"/>
          <w:b/>
          <w:bCs/>
          <w:color w:val="000000"/>
          <w:sz w:val="26"/>
          <w:szCs w:val="26"/>
        </w:rPr>
        <w:t>十六、审核组签字</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843" w:firstLineChars="400"/>
        <w:textAlignment w:val="auto"/>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冯涛</w:t>
      </w:r>
    </w:p>
    <w:p>
      <w:pPr>
        <w:keepNext w:val="0"/>
        <w:keepLines w:val="0"/>
        <w:pageBreakBefore w:val="0"/>
        <w:widowControl w:val="0"/>
        <w:kinsoku/>
        <w:wordWrap/>
        <w:overflowPunct/>
        <w:topLinePunct w:val="0"/>
        <w:autoSpaceDE/>
        <w:autoSpaceDN/>
        <w:bidi w:val="0"/>
        <w:adjustRightInd/>
        <w:snapToGrid/>
        <w:spacing w:line="360" w:lineRule="exact"/>
        <w:ind w:firstLine="5644" w:firstLineChars="2677"/>
        <w:textAlignment w:val="auto"/>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2020.1.2</w:t>
      </w:r>
    </w:p>
    <w:p>
      <w:pPr>
        <w:keepNext w:val="0"/>
        <w:keepLines w:val="0"/>
        <w:pageBreakBefore w:val="0"/>
        <w:widowControl w:val="0"/>
        <w:tabs>
          <w:tab w:val="left" w:pos="645"/>
        </w:tabs>
        <w:kinsoku/>
        <w:wordWrap/>
        <w:overflowPunct/>
        <w:topLinePunct w:val="0"/>
        <w:autoSpaceDE/>
        <w:autoSpaceDN/>
        <w:bidi w:val="0"/>
        <w:adjustRightInd/>
        <w:snapToGrid/>
        <w:spacing w:after="156" w:afterLines="50" w:line="360" w:lineRule="exact"/>
        <w:textAlignment w:val="auto"/>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keepNext w:val="0"/>
        <w:keepLines w:val="0"/>
        <w:pageBreakBefore w:val="0"/>
        <w:widowControl w:val="0"/>
        <w:kinsoku/>
        <w:wordWrap/>
        <w:overflowPunct/>
        <w:topLinePunct w:val="0"/>
        <w:autoSpaceDE/>
        <w:autoSpaceDN/>
        <w:bidi w:val="0"/>
        <w:adjustRightInd/>
        <w:snapToGrid/>
        <w:spacing w:line="360" w:lineRule="exact"/>
        <w:ind w:left="283" w:leftChars="135" w:firstLine="269" w:firstLineChars="134"/>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keepNext w:val="0"/>
        <w:keepLines w:val="0"/>
        <w:pageBreakBefore w:val="0"/>
        <w:widowControl w:val="0"/>
        <w:kinsoku/>
        <w:wordWrap/>
        <w:overflowPunct/>
        <w:topLinePunct w:val="0"/>
        <w:autoSpaceDE/>
        <w:autoSpaceDN/>
        <w:bidi w:val="0"/>
        <w:adjustRightInd/>
        <w:snapToGrid/>
        <w:spacing w:line="360" w:lineRule="exact"/>
        <w:ind w:left="283" w:leftChars="135" w:firstLine="264" w:firstLineChars="134"/>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keepNext w:val="0"/>
        <w:keepLines w:val="0"/>
        <w:pageBreakBefore w:val="0"/>
        <w:widowControl w:val="0"/>
        <w:kinsoku/>
        <w:wordWrap/>
        <w:overflowPunct/>
        <w:topLinePunct w:val="0"/>
        <w:autoSpaceDE/>
        <w:autoSpaceDN/>
        <w:bidi w:val="0"/>
        <w:adjustRightInd/>
        <w:snapToGrid/>
        <w:spacing w:line="360" w:lineRule="exact"/>
        <w:ind w:left="283" w:leftChars="135" w:firstLine="269" w:firstLineChars="134"/>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keepNext w:val="0"/>
        <w:keepLines w:val="0"/>
        <w:pageBreakBefore w:val="0"/>
        <w:widowControl w:val="0"/>
        <w:kinsoku/>
        <w:wordWrap/>
        <w:overflowPunct/>
        <w:topLinePunct w:val="0"/>
        <w:autoSpaceDE/>
        <w:autoSpaceDN/>
        <w:bidi w:val="0"/>
        <w:adjustRightInd/>
        <w:snapToGrid/>
        <w:spacing w:line="360" w:lineRule="exact"/>
        <w:ind w:left="283" w:leftChars="135" w:firstLine="269" w:firstLineChars="134"/>
        <w:textAlignment w:val="auto"/>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94"/>
        <w:gridCol w:w="247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9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47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b w:val="0"/>
                <w:bCs w:val="0"/>
                <w:color w:val="000000"/>
                <w:sz w:val="21"/>
                <w:szCs w:val="21"/>
                <w:lang w:val="en-US" w:eastAsia="zh-CN"/>
              </w:rPr>
            </w:pPr>
          </w:p>
        </w:tc>
        <w:tc>
          <w:tcPr>
            <w:tcW w:w="4894"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b w:val="0"/>
                <w:bCs w:val="0"/>
                <w:color w:val="000000"/>
                <w:sz w:val="21"/>
                <w:szCs w:val="21"/>
                <w:lang w:val="en-US" w:eastAsia="zh-CN"/>
              </w:rPr>
            </w:pPr>
          </w:p>
        </w:tc>
        <w:tc>
          <w:tcPr>
            <w:tcW w:w="2475" w:type="dxa"/>
            <w:vAlign w:val="center"/>
          </w:tcPr>
          <w:p>
            <w:pPr>
              <w:tabs>
                <w:tab w:val="center" w:pos="4153"/>
                <w:tab w:val="right" w:pos="8306"/>
              </w:tabs>
              <w:snapToGrid w:val="0"/>
              <w:spacing w:line="276" w:lineRule="auto"/>
              <w:jc w:val="both"/>
              <w:rPr>
                <w:rFonts w:hint="default" w:ascii="Times New Roman" w:hAnsi="Times New Roman" w:eastAsia="宋体" w:cs="Times New Roman"/>
                <w:b w:val="0"/>
                <w:bCs w:val="0"/>
                <w:color w:val="000000"/>
                <w:sz w:val="21"/>
                <w:szCs w:val="21"/>
                <w:lang w:val="en-US" w:eastAsia="zh-CN"/>
              </w:rPr>
            </w:pPr>
          </w:p>
        </w:tc>
        <w:tc>
          <w:tcPr>
            <w:tcW w:w="1811" w:type="dxa"/>
            <w:vAlign w:val="center"/>
          </w:tcPr>
          <w:p>
            <w:pPr>
              <w:pStyle w:val="4"/>
              <w:pBdr>
                <w:bottom w:val="none" w:color="auto" w:sz="0" w:space="0"/>
              </w:pBdr>
              <w:ind w:right="600"/>
              <w:jc w:val="both"/>
              <w:rPr>
                <w:rFonts w:hint="default" w:ascii="Times New Roman" w:hAnsi="Times New Roman" w:cs="Times New Roman"/>
                <w:b w:val="0"/>
                <w:bCs w:val="0"/>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b w:val="0"/>
                <w:bCs w:val="0"/>
                <w:color w:val="000000"/>
                <w:sz w:val="21"/>
                <w:szCs w:val="21"/>
                <w:lang w:val="en-US" w:eastAsia="zh-CN"/>
              </w:rPr>
            </w:pPr>
          </w:p>
        </w:tc>
        <w:tc>
          <w:tcPr>
            <w:tcW w:w="4894" w:type="dxa"/>
            <w:vAlign w:val="center"/>
          </w:tcPr>
          <w:p>
            <w:pPr>
              <w:pStyle w:val="4"/>
              <w:pBdr>
                <w:bottom w:val="none" w:color="auto" w:sz="0" w:space="0"/>
              </w:pBdr>
              <w:tabs>
                <w:tab w:val="center" w:pos="5737"/>
                <w:tab w:val="clear" w:pos="4153"/>
              </w:tabs>
              <w:jc w:val="both"/>
              <w:rPr>
                <w:rFonts w:hint="default" w:ascii="Times New Roman" w:hAnsi="Times New Roman" w:cs="Times New Roman"/>
                <w:b w:val="0"/>
                <w:bCs w:val="0"/>
                <w:color w:val="000000"/>
                <w:sz w:val="21"/>
                <w:szCs w:val="21"/>
              </w:rPr>
            </w:pPr>
          </w:p>
        </w:tc>
        <w:tc>
          <w:tcPr>
            <w:tcW w:w="2475" w:type="dxa"/>
            <w:vAlign w:val="center"/>
          </w:tcPr>
          <w:p>
            <w:pPr>
              <w:tabs>
                <w:tab w:val="center" w:pos="4153"/>
                <w:tab w:val="right" w:pos="8306"/>
              </w:tabs>
              <w:snapToGrid w:val="0"/>
              <w:spacing w:line="276" w:lineRule="auto"/>
              <w:jc w:val="both"/>
              <w:rPr>
                <w:rFonts w:hint="default" w:ascii="Times New Roman" w:hAnsi="Times New Roman" w:cs="Times New Roman"/>
                <w:b w:val="0"/>
                <w:bCs w:val="0"/>
                <w:color w:val="000000"/>
                <w:sz w:val="21"/>
                <w:szCs w:val="21"/>
              </w:rPr>
            </w:pPr>
          </w:p>
        </w:tc>
        <w:tc>
          <w:tcPr>
            <w:tcW w:w="1811" w:type="dxa"/>
            <w:vAlign w:val="center"/>
          </w:tcPr>
          <w:p>
            <w:pPr>
              <w:pStyle w:val="4"/>
              <w:pBdr>
                <w:bottom w:val="none" w:color="auto" w:sz="0" w:space="0"/>
              </w:pBdr>
              <w:ind w:right="600"/>
              <w:jc w:val="both"/>
              <w:rPr>
                <w:rFonts w:hint="default" w:ascii="Times New Roman" w:hAnsi="Times New Roman" w:eastAsia="宋体" w:cs="Times New Roman"/>
                <w:b w:val="0"/>
                <w:bCs w:val="0"/>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25804"/>
    <w:rsid w:val="11275C96"/>
    <w:rsid w:val="12011A79"/>
    <w:rsid w:val="12F23608"/>
    <w:rsid w:val="151659B5"/>
    <w:rsid w:val="17B57AB1"/>
    <w:rsid w:val="1F314646"/>
    <w:rsid w:val="292B41B9"/>
    <w:rsid w:val="4B0A6D03"/>
    <w:rsid w:val="4E6301EF"/>
    <w:rsid w:val="53BA6AEB"/>
    <w:rsid w:val="5B711C41"/>
    <w:rsid w:val="62986D60"/>
    <w:rsid w:val="6B2B0F43"/>
    <w:rsid w:val="6FDE153A"/>
    <w:rsid w:val="77075F99"/>
    <w:rsid w:val="77500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6256</Words>
  <Characters>6608</Characters>
  <Lines>48</Lines>
  <Paragraphs>13</Paragraphs>
  <TotalTime>2</TotalTime>
  <ScaleCrop>false</ScaleCrop>
  <LinksUpToDate>false</LinksUpToDate>
  <CharactersWithSpaces>6831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2020-01-07T02:27:46Z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