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snapToGrid w:val="0"/>
        <w:spacing w:after="120" w:afterLines="50" w:line="320" w:lineRule="exact"/>
        <w:jc w:val="center"/>
        <w:rPr>
          <w:rFonts w:eastAsia="隶书"/>
          <w:b/>
          <w:sz w:val="22"/>
          <w:szCs w:val="22"/>
        </w:rPr>
      </w:pPr>
      <w:bookmarkStart w:id="0" w:name="勾选"/>
      <w:bookmarkStart w:id="1" w:name="Q勾选"/>
      <w:r>
        <w:rPr>
          <w:rFonts w:hint="eastAsia"/>
          <w:b/>
          <w:sz w:val="22"/>
          <w:szCs w:val="22"/>
        </w:rPr>
        <w:t>□</w:t>
      </w:r>
      <w:bookmarkEnd w:id="0"/>
      <w:bookmarkEnd w:id="1"/>
      <w:r>
        <w:rPr>
          <w:b/>
          <w:sz w:val="22"/>
          <w:szCs w:val="22"/>
        </w:rPr>
        <w:t xml:space="preserve">QMS  </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p>
    <w:tbl>
      <w:tblPr>
        <w:tblStyle w:val="5"/>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025"/>
        <w:gridCol w:w="1505"/>
        <w:gridCol w:w="1290"/>
        <w:gridCol w:w="1505"/>
        <w:gridCol w:w="1720"/>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w:t>
            </w:r>
          </w:p>
        </w:tc>
        <w:tc>
          <w:tcPr>
            <w:tcW w:w="5325" w:type="dxa"/>
            <w:gridSpan w:val="4"/>
            <w:tcBorders>
              <w:top w:val="single" w:color="auto" w:sz="8" w:space="0"/>
            </w:tcBorders>
            <w:vAlign w:val="center"/>
          </w:tcPr>
          <w:p>
            <w:pPr>
              <w:snapToGrid w:val="0"/>
              <w:spacing w:line="280" w:lineRule="exact"/>
              <w:jc w:val="center"/>
              <w:rPr>
                <w:b/>
                <w:sz w:val="20"/>
              </w:rPr>
            </w:pPr>
            <w:bookmarkStart w:id="4" w:name="组织名称"/>
            <w:r>
              <w:rPr>
                <w:b/>
                <w:sz w:val="20"/>
              </w:rPr>
              <w:t>深圳市丝路蓝创意展示有限公司</w:t>
            </w:r>
            <w:bookmarkEnd w:id="4"/>
          </w:p>
        </w:tc>
        <w:tc>
          <w:tcPr>
            <w:tcW w:w="1720" w:type="dxa"/>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jc w:val="center"/>
              <w:rPr>
                <w:b/>
                <w:sz w:val="22"/>
                <w:szCs w:val="22"/>
              </w:rPr>
            </w:pPr>
            <w:r>
              <w:rPr>
                <w:rFonts w:hint="eastAsia"/>
                <w:b/>
                <w:sz w:val="22"/>
                <w:szCs w:val="22"/>
              </w:rPr>
              <w:t>项目代码</w:t>
            </w:r>
          </w:p>
        </w:tc>
        <w:tc>
          <w:tcPr>
            <w:tcW w:w="1379" w:type="dxa"/>
            <w:tcBorders>
              <w:top w:val="single" w:color="auto" w:sz="8" w:space="0"/>
            </w:tcBorders>
            <w:vAlign w:val="center"/>
          </w:tcPr>
          <w:p>
            <w:pPr>
              <w:snapToGrid w:val="0"/>
              <w:spacing w:line="280" w:lineRule="exact"/>
              <w:ind w:left="52"/>
              <w:jc w:val="center"/>
              <w:rPr>
                <w:b/>
                <w:sz w:val="20"/>
              </w:rPr>
            </w:pPr>
            <w:bookmarkStart w:id="5" w:name="专业代码"/>
            <w:r>
              <w:rPr>
                <w:b/>
                <w:sz w:val="20"/>
              </w:rPr>
              <w:t>35.20.00</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0" w:type="dxa"/>
            <w:gridSpan w:val="2"/>
            <w:vAlign w:val="center"/>
          </w:tcPr>
          <w:p>
            <w:pPr>
              <w:snapToGrid w:val="0"/>
              <w:spacing w:line="280" w:lineRule="exact"/>
              <w:jc w:val="center"/>
              <w:rPr>
                <w:b/>
                <w:sz w:val="20"/>
              </w:rPr>
            </w:pPr>
            <w:r>
              <w:rPr>
                <w:rFonts w:hint="eastAsia"/>
                <w:sz w:val="18"/>
                <w:szCs w:val="18"/>
              </w:rPr>
              <w:t>李京田</w:t>
            </w:r>
          </w:p>
        </w:tc>
        <w:tc>
          <w:tcPr>
            <w:tcW w:w="1290"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jc w:val="center"/>
              <w:rPr>
                <w:b/>
                <w:sz w:val="20"/>
              </w:rPr>
            </w:pPr>
            <w:r>
              <w:rPr>
                <w:b/>
                <w:sz w:val="20"/>
              </w:rPr>
              <w:t>35.20.00</w:t>
            </w:r>
          </w:p>
        </w:tc>
        <w:tc>
          <w:tcPr>
            <w:tcW w:w="1720" w:type="dxa"/>
            <w:vAlign w:val="center"/>
          </w:tcPr>
          <w:p>
            <w:pPr>
              <w:snapToGrid w:val="0"/>
              <w:spacing w:line="280" w:lineRule="exact"/>
              <w:jc w:val="center"/>
              <w:rPr>
                <w:b/>
                <w:sz w:val="22"/>
                <w:szCs w:val="22"/>
              </w:rPr>
            </w:pPr>
            <w:r>
              <w:rPr>
                <w:rFonts w:hint="eastAsia"/>
                <w:b/>
                <w:sz w:val="22"/>
                <w:szCs w:val="22"/>
              </w:rPr>
              <w:t>培训地点</w:t>
            </w:r>
          </w:p>
        </w:tc>
        <w:tc>
          <w:tcPr>
            <w:tcW w:w="1379" w:type="dxa"/>
            <w:vAlign w:val="center"/>
          </w:tcPr>
          <w:p>
            <w:pPr>
              <w:snapToGrid w:val="0"/>
              <w:spacing w:line="280" w:lineRule="exact"/>
              <w:jc w:val="center"/>
              <w:rPr>
                <w:b/>
                <w:sz w:val="20"/>
              </w:rPr>
            </w:pPr>
            <w:r>
              <w:rPr>
                <w:rFonts w:hint="eastAsia"/>
                <w:b/>
                <w:sz w:val="20"/>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025" w:type="dxa"/>
            <w:vAlign w:val="center"/>
          </w:tcPr>
          <w:p>
            <w:pPr>
              <w:snapToGrid w:val="0"/>
              <w:spacing w:line="360" w:lineRule="exact"/>
              <w:jc w:val="center"/>
              <w:rPr>
                <w:b/>
                <w:sz w:val="20"/>
              </w:rPr>
            </w:pPr>
            <w:r>
              <w:rPr>
                <w:rFonts w:hint="eastAsia"/>
                <w:sz w:val="18"/>
                <w:szCs w:val="18"/>
              </w:rPr>
              <w:t>龚璇</w:t>
            </w:r>
          </w:p>
        </w:tc>
        <w:tc>
          <w:tcPr>
            <w:tcW w:w="1505" w:type="dxa"/>
            <w:vAlign w:val="center"/>
          </w:tcPr>
          <w:p>
            <w:pPr>
              <w:snapToGrid w:val="0"/>
              <w:spacing w:line="360" w:lineRule="exact"/>
              <w:jc w:val="center"/>
              <w:rPr>
                <w:b/>
                <w:sz w:val="20"/>
              </w:rPr>
            </w:pP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vAlign w:val="center"/>
          </w:tcPr>
          <w:p>
            <w:pPr>
              <w:snapToGrid w:val="0"/>
              <w:spacing w:line="280" w:lineRule="exact"/>
              <w:jc w:val="center"/>
              <w:rPr>
                <w:b/>
                <w:sz w:val="20"/>
              </w:rPr>
            </w:pPr>
            <w:r>
              <w:rPr>
                <w:rFonts w:hint="eastAsia"/>
                <w:b/>
                <w:sz w:val="20"/>
              </w:rPr>
              <w:t>专业代码</w:t>
            </w:r>
          </w:p>
        </w:tc>
        <w:tc>
          <w:tcPr>
            <w:tcW w:w="1025" w:type="dxa"/>
            <w:vAlign w:val="center"/>
          </w:tcPr>
          <w:p>
            <w:pPr>
              <w:snapToGrid w:val="0"/>
              <w:spacing w:line="360" w:lineRule="exact"/>
              <w:jc w:val="center"/>
              <w:rPr>
                <w:b/>
                <w:sz w:val="20"/>
              </w:rPr>
            </w:pPr>
            <w:r>
              <w:rPr>
                <w:b/>
                <w:sz w:val="20"/>
              </w:rPr>
              <w:t>35.20.00</w:t>
            </w:r>
          </w:p>
        </w:tc>
        <w:tc>
          <w:tcPr>
            <w:tcW w:w="1505" w:type="dxa"/>
            <w:vAlign w:val="center"/>
          </w:tcPr>
          <w:p>
            <w:pPr>
              <w:snapToGrid w:val="0"/>
              <w:spacing w:line="360" w:lineRule="exact"/>
              <w:jc w:val="center"/>
              <w:rPr>
                <w:b/>
                <w:sz w:val="20"/>
              </w:rPr>
            </w:pP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6"/>
            <w:vAlign w:val="center"/>
          </w:tcPr>
          <w:p>
            <w:pPr>
              <w:snapToGrid w:val="0"/>
              <w:spacing w:line="280" w:lineRule="exact"/>
              <w:rPr>
                <w:rFonts w:hint="eastAsia"/>
                <w:b/>
                <w:sz w:val="20"/>
              </w:rPr>
            </w:pPr>
            <w:r>
              <w:rPr>
                <w:rFonts w:hint="eastAsia"/>
                <w:b/>
                <w:sz w:val="20"/>
              </w:rPr>
              <w:t>1 生产工艺过程：</w:t>
            </w:r>
          </w:p>
          <w:p>
            <w:pPr>
              <w:snapToGrid w:val="0"/>
              <w:spacing w:line="280" w:lineRule="exact"/>
              <w:rPr>
                <w:rFonts w:hint="eastAsia"/>
                <w:b/>
                <w:sz w:val="20"/>
              </w:rPr>
            </w:pPr>
            <w:r>
              <w:rPr>
                <w:rFonts w:hint="eastAsia"/>
                <w:b/>
                <w:sz w:val="20"/>
              </w:rPr>
              <w:t>明确市场需求→结合法律法规→提供大会和贸易展览组织信息→召集大会和贸易展览活动、会议</w:t>
            </w:r>
          </w:p>
          <w:p>
            <w:pPr>
              <w:snapToGrid w:val="0"/>
              <w:spacing w:line="280" w:lineRule="exact"/>
              <w:rPr>
                <w:rFonts w:hint="eastAsia"/>
                <w:b/>
                <w:sz w:val="20"/>
              </w:rPr>
            </w:pPr>
            <w:r>
              <w:rPr>
                <w:rFonts w:hint="eastAsia"/>
                <w:b/>
                <w:sz w:val="20"/>
              </w:rPr>
              <w:t>2 关键/特殊过程/控制要求：</w:t>
            </w:r>
          </w:p>
          <w:p>
            <w:pPr>
              <w:snapToGrid w:val="0"/>
              <w:spacing w:line="280" w:lineRule="exact"/>
              <w:rPr>
                <w:rFonts w:hint="eastAsia"/>
                <w:b/>
                <w:sz w:val="20"/>
              </w:rPr>
            </w:pPr>
            <w:r>
              <w:rPr>
                <w:rFonts w:hint="eastAsia"/>
                <w:b/>
                <w:sz w:val="20"/>
              </w:rPr>
              <w:t>调节大会和贸易展览更有效运作的服务就是特殊过程。主要控制人员能力的确认、相关规定的确认。</w:t>
            </w:r>
          </w:p>
          <w:p>
            <w:pPr>
              <w:snapToGrid w:val="0"/>
              <w:spacing w:line="280" w:lineRule="exact"/>
              <w:rPr>
                <w:rFonts w:hint="eastAsia"/>
                <w:b/>
                <w:sz w:val="20"/>
              </w:rPr>
            </w:pPr>
            <w:r>
              <w:rPr>
                <w:rFonts w:hint="eastAsia"/>
                <w:b/>
                <w:sz w:val="20"/>
              </w:rPr>
              <w:t>3 产品特性：</w:t>
            </w:r>
          </w:p>
          <w:p>
            <w:pPr>
              <w:snapToGrid w:val="0"/>
              <w:spacing w:line="280" w:lineRule="exact"/>
              <w:rPr>
                <w:rFonts w:hint="eastAsia"/>
                <w:b/>
                <w:sz w:val="20"/>
              </w:rPr>
            </w:pPr>
            <w:r>
              <w:rPr>
                <w:rFonts w:hint="eastAsia"/>
                <w:b/>
                <w:sz w:val="20"/>
              </w:rPr>
              <w:t>符合贸易的法律法规，不能做违规商贸运作。以服务为主，差错率、服务态度、服务</w:t>
            </w:r>
          </w:p>
          <w:p>
            <w:pPr>
              <w:snapToGrid w:val="0"/>
              <w:spacing w:line="280" w:lineRule="exact"/>
              <w:rPr>
                <w:b/>
                <w:sz w:val="20"/>
              </w:rPr>
            </w:pPr>
            <w:r>
              <w:rPr>
                <w:rFonts w:hint="eastAsia"/>
                <w:b/>
                <w:sz w:val="20"/>
              </w:rPr>
              <w:t>效率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生产过程</w:t>
            </w:r>
            <w:r>
              <w:rPr>
                <w:b/>
                <w:sz w:val="20"/>
              </w:rPr>
              <w:t>/</w:t>
            </w:r>
            <w:r>
              <w:rPr>
                <w:rFonts w:hint="eastAsia"/>
                <w:b/>
                <w:sz w:val="20"/>
              </w:rPr>
              <w:t>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r>
              <w:rPr>
                <w:b/>
                <w:sz w:val="20"/>
              </w:rPr>
              <w:t>/</w:t>
            </w:r>
          </w:p>
          <w:p>
            <w:pPr>
              <w:snapToGrid w:val="0"/>
              <w:spacing w:line="280" w:lineRule="exact"/>
              <w:jc w:val="left"/>
              <w:rPr>
                <w:b/>
              </w:rPr>
            </w:pPr>
          </w:p>
        </w:tc>
        <w:tc>
          <w:tcPr>
            <w:tcW w:w="8424" w:type="dxa"/>
            <w:gridSpan w:val="6"/>
            <w:vAlign w:val="center"/>
          </w:tcPr>
          <w:p>
            <w:pPr>
              <w:snapToGrid w:val="0"/>
              <w:spacing w:line="280" w:lineRule="exact"/>
              <w:rPr>
                <w:rFonts w:hint="eastAsia"/>
                <w:b/>
                <w:sz w:val="20"/>
              </w:rPr>
            </w:pPr>
            <w:r>
              <w:rPr>
                <w:rFonts w:hint="eastAsia"/>
                <w:b/>
                <w:sz w:val="20"/>
              </w:rPr>
              <w:t>2 关键/特殊过程/控制要求：</w:t>
            </w:r>
          </w:p>
          <w:p>
            <w:pPr>
              <w:snapToGrid w:val="0"/>
              <w:spacing w:line="280" w:lineRule="exact"/>
              <w:rPr>
                <w:rFonts w:hint="eastAsia"/>
                <w:b/>
                <w:sz w:val="20"/>
              </w:rPr>
            </w:pPr>
            <w:r>
              <w:rPr>
                <w:rFonts w:hint="eastAsia"/>
                <w:b/>
                <w:sz w:val="20"/>
              </w:rPr>
              <w:t>调节大会和贸易展览更有效运作的服务就是特殊过程。主要控制人员能力的确认、相关规定的确认。</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4" w:type="dxa"/>
            <w:gridSpan w:val="6"/>
            <w:vAlign w:val="center"/>
          </w:tcPr>
          <w:p>
            <w:pPr>
              <w:spacing w:line="394" w:lineRule="exact"/>
              <w:ind w:firstLine="420" w:firstLineChars="200"/>
              <w:rPr>
                <w:sz w:val="21"/>
                <w:szCs w:val="21"/>
              </w:rPr>
            </w:pPr>
            <w:r>
              <w:rPr>
                <w:rFonts w:hint="eastAsia"/>
                <w:sz w:val="21"/>
                <w:szCs w:val="21"/>
              </w:rPr>
              <w:t>编制了</w:t>
            </w:r>
            <w:r>
              <w:rPr>
                <w:sz w:val="21"/>
                <w:szCs w:val="21"/>
              </w:rPr>
              <w:t>《环境因素的识别与评价控制程序》</w:t>
            </w:r>
            <w:r>
              <w:rPr>
                <w:rFonts w:hint="eastAsia"/>
                <w:sz w:val="21"/>
                <w:szCs w:val="21"/>
              </w:rPr>
              <w:t>符合标准要求.</w:t>
            </w:r>
          </w:p>
          <w:p>
            <w:pPr>
              <w:ind w:firstLine="420" w:firstLineChars="200"/>
              <w:rPr>
                <w:sz w:val="21"/>
                <w:szCs w:val="21"/>
              </w:rPr>
            </w:pPr>
            <w:r>
              <w:rPr>
                <w:rFonts w:hint="eastAsia"/>
                <w:sz w:val="21"/>
                <w:szCs w:val="21"/>
              </w:rPr>
              <w:t>“环境因素识别评价表”“重要环境因素清单”， 评价考虑了三种时态现在、过去、将来、三种状态、异常、正常、紧急考虑了法律法规，并进行了评价，针对</w:t>
            </w:r>
            <w:bookmarkStart w:id="6" w:name="审核范围"/>
            <w:r>
              <w:rPr>
                <w:rFonts w:hint="eastAsia" w:ascii="宋体" w:hAnsi="宋体"/>
                <w:szCs w:val="21"/>
              </w:rPr>
              <w:t>展览展示设计及布展服务</w:t>
            </w:r>
            <w:bookmarkEnd w:id="6"/>
            <w:r>
              <w:rPr>
                <w:rFonts w:hint="eastAsia"/>
                <w:sz w:val="21"/>
                <w:szCs w:val="21"/>
              </w:rPr>
              <w:t>过程，用打分法考虑了法规符合性、发生频次、影响范围等, 通过定性判断法，共识别出重大环境因素</w:t>
            </w:r>
            <w:r>
              <w:rPr>
                <w:rFonts w:hint="eastAsia"/>
                <w:sz w:val="21"/>
                <w:szCs w:val="21"/>
                <w:lang w:val="en-US" w:eastAsia="zh-CN"/>
              </w:rPr>
              <w:t>2</w:t>
            </w:r>
            <w:r>
              <w:rPr>
                <w:rFonts w:hint="eastAsia"/>
                <w:sz w:val="21"/>
                <w:szCs w:val="21"/>
              </w:rPr>
              <w:t>项:、固废排放、火灾</w:t>
            </w:r>
            <w:r>
              <w:rPr>
                <w:rFonts w:hint="eastAsia"/>
                <w:sz w:val="21"/>
                <w:szCs w:val="21"/>
                <w:lang w:val="en-US" w:eastAsia="zh-CN"/>
              </w:rPr>
              <w:t xml:space="preserve">. </w:t>
            </w:r>
            <w:bookmarkStart w:id="7" w:name="_GoBack"/>
            <w:bookmarkEnd w:id="7"/>
            <w:r>
              <w:rPr>
                <w:rFonts w:hint="eastAsia"/>
                <w:sz w:val="21"/>
                <w:szCs w:val="21"/>
              </w:rPr>
              <w:t>评价符合程序要求及公司的实际情况。</w:t>
            </w:r>
          </w:p>
          <w:p>
            <w:pPr>
              <w:widowControl/>
              <w:jc w:val="left"/>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4" w:type="dxa"/>
            <w:gridSpan w:val="6"/>
            <w:vAlign w:val="center"/>
          </w:tcPr>
          <w:p>
            <w:pPr>
              <w:ind w:firstLine="420" w:firstLineChars="200"/>
              <w:rPr>
                <w:sz w:val="21"/>
                <w:szCs w:val="21"/>
              </w:rPr>
            </w:pPr>
            <w:r>
              <w:rPr>
                <w:rFonts w:hint="eastAsia"/>
                <w:sz w:val="21"/>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sz w:val="21"/>
                <w:szCs w:val="21"/>
              </w:rPr>
            </w:pPr>
            <w:r>
              <w:rPr>
                <w:rFonts w:hint="eastAsia"/>
                <w:sz w:val="21"/>
                <w:szCs w:val="21"/>
              </w:rPr>
              <w:t>提供的：“危险源识别与风险评价表”“不可接受风险源清单”， 评价考虑了将来、状态、可能导致的事件，并进行了评价，用打分法考虑了法规符合性、发生频次、影响范围等, 通过是非法，共识别出不可接受风险3项，涉及：火灾、触电、意外伤害。评价符合程序要求及公司的实际情况。对危险源的控制措施包括制定管理制度、监督检查、应急预案、培训等。</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4" w:type="dxa"/>
            <w:gridSpan w:val="6"/>
            <w:vAlign w:val="center"/>
          </w:tcPr>
          <w:p>
            <w:pPr>
              <w:widowControl/>
              <w:jc w:val="left"/>
              <w:rPr>
                <w:b/>
                <w:bCs/>
                <w:kern w:val="0"/>
              </w:rPr>
            </w:pPr>
            <w:r>
              <w:rPr>
                <w:rStyle w:val="11"/>
                <w:rFonts w:hint="default"/>
                <w:b/>
                <w:bCs/>
              </w:rPr>
              <w:t>中华人民共和国合伙企业法</w:t>
            </w:r>
            <w:r>
              <w:rPr>
                <w:rFonts w:hint="eastAsia"/>
              </w:rPr>
              <w:t>、</w:t>
            </w:r>
            <w:r>
              <w:rPr>
                <w:rStyle w:val="11"/>
                <w:rFonts w:hint="default"/>
                <w:b/>
                <w:bCs/>
              </w:rPr>
              <w:t>中华人民共和国个人独资企业法</w:t>
            </w:r>
            <w:r>
              <w:rPr>
                <w:rFonts w:hint="eastAsia"/>
                <w:b/>
                <w:bCs/>
                <w:color w:val="000000"/>
                <w:sz w:val="22"/>
                <w:szCs w:val="22"/>
              </w:rPr>
              <w:br w:type="textWrapping"/>
            </w:r>
            <w:r>
              <w:rPr>
                <w:rStyle w:val="11"/>
                <w:rFonts w:hint="default"/>
                <w:b/>
                <w:bCs/>
              </w:rPr>
              <w:t>中华人民共和国公司法</w:t>
            </w:r>
            <w:r>
              <w:rPr>
                <w:rFonts w:hint="eastAsia"/>
              </w:rPr>
              <w:t>、</w:t>
            </w:r>
            <w:r>
              <w:rPr>
                <w:rStyle w:val="11"/>
                <w:rFonts w:hint="default"/>
                <w:b/>
                <w:bCs/>
              </w:rPr>
              <w:t>城乡集市贸易管理办法</w:t>
            </w:r>
            <w:r>
              <w:rPr>
                <w:rFonts w:hint="eastAsia"/>
                <w:b/>
                <w:bCs/>
                <w:color w:val="000000"/>
                <w:sz w:val="22"/>
                <w:szCs w:val="22"/>
              </w:rPr>
              <w:br w:type="textWrapping"/>
            </w:r>
            <w:r>
              <w:rPr>
                <w:rStyle w:val="11"/>
                <w:rFonts w:hint="default"/>
                <w:b/>
                <w:bCs/>
              </w:rPr>
              <w:t>关于禁止侵犯商业秘密行为的若干规定</w:t>
            </w:r>
            <w:r>
              <w:rPr>
                <w:rFonts w:hint="eastAsia"/>
                <w:b/>
                <w:bCs/>
                <w:color w:val="000000"/>
                <w:sz w:val="22"/>
                <w:szCs w:val="22"/>
              </w:rPr>
              <w:br w:type="textWrapping"/>
            </w:r>
            <w:r>
              <w:rPr>
                <w:rStyle w:val="11"/>
                <w:rFonts w:hint="default"/>
                <w:b/>
                <w:bCs/>
              </w:rPr>
              <w:t>欺诈消费者行为处罚办法</w:t>
            </w:r>
            <w:r>
              <w:rPr>
                <w:rFonts w:hint="eastAsia"/>
                <w:b/>
                <w:bCs/>
                <w:color w:val="000000"/>
                <w:sz w:val="22"/>
                <w:szCs w:val="22"/>
              </w:rPr>
              <w:br w:type="textWrapping"/>
            </w:r>
            <w:r>
              <w:rPr>
                <w:rStyle w:val="11"/>
                <w:rFonts w:hint="default"/>
                <w:b/>
                <w:bCs/>
              </w:rPr>
              <w:t>中华人民共和国消费者权益保护法</w:t>
            </w:r>
            <w:r>
              <w:rPr>
                <w:rFonts w:hint="eastAsia"/>
                <w:b/>
                <w:bCs/>
                <w:color w:val="000000"/>
                <w:sz w:val="22"/>
                <w:szCs w:val="22"/>
              </w:rPr>
              <w:br w:type="textWrapping"/>
            </w:r>
            <w:r>
              <w:rPr>
                <w:rStyle w:val="11"/>
                <w:rFonts w:hint="default"/>
                <w:b/>
                <w:bCs/>
              </w:rPr>
              <w:t>中华人民共和国海商法</w:t>
            </w:r>
            <w:r>
              <w:rPr>
                <w:rFonts w:hint="eastAsia"/>
                <w:b/>
                <w:bCs/>
                <w:color w:val="000000"/>
                <w:sz w:val="22"/>
                <w:szCs w:val="22"/>
              </w:rPr>
              <w:br w:type="textWrapping"/>
            </w:r>
            <w:r>
              <w:rPr>
                <w:rStyle w:val="11"/>
                <w:rFonts w:hint="default"/>
                <w:b/>
                <w:bCs/>
              </w:rPr>
              <w:t>中华人民共和国对外贸易法</w:t>
            </w:r>
            <w:r>
              <w:rPr>
                <w:rFonts w:hint="eastAsia"/>
                <w:b/>
                <w:bCs/>
                <w:color w:val="000000"/>
                <w:sz w:val="22"/>
                <w:szCs w:val="22"/>
              </w:rPr>
              <w:br w:type="textWrapping"/>
            </w:r>
            <w:r>
              <w:rPr>
                <w:rStyle w:val="11"/>
                <w:rFonts w:hint="default"/>
                <w:b/>
                <w:bCs/>
              </w:rPr>
              <w:t>中华人民共和国反倾销条例</w:t>
            </w:r>
            <w:r>
              <w:rPr>
                <w:rFonts w:hint="eastAsia"/>
                <w:b/>
                <w:bCs/>
                <w:color w:val="000000"/>
                <w:sz w:val="22"/>
                <w:szCs w:val="22"/>
              </w:rPr>
              <w:br w:type="textWrapping"/>
            </w:r>
            <w:r>
              <w:rPr>
                <w:rStyle w:val="11"/>
                <w:rFonts w:hint="default"/>
                <w:b/>
                <w:bCs/>
              </w:rPr>
              <w:t>中华人民共和国技术进出口管理条例</w:t>
            </w:r>
            <w:r>
              <w:rPr>
                <w:rFonts w:hint="eastAsia"/>
                <w:b/>
                <w:bCs/>
                <w:color w:val="000000"/>
                <w:sz w:val="22"/>
                <w:szCs w:val="22"/>
              </w:rPr>
              <w:br w:type="textWrapping"/>
            </w:r>
            <w:r>
              <w:rPr>
                <w:rStyle w:val="11"/>
                <w:rFonts w:hint="default"/>
                <w:b/>
                <w:bCs/>
              </w:rPr>
              <w:t>禁止进口限制进口技术管理办法</w:t>
            </w:r>
            <w:r>
              <w:rPr>
                <w:rFonts w:hint="eastAsia"/>
                <w:b/>
                <w:bCs/>
                <w:color w:val="000000"/>
                <w:sz w:val="22"/>
                <w:szCs w:val="22"/>
              </w:rPr>
              <w:br w:type="textWrapping"/>
            </w:r>
            <w:r>
              <w:rPr>
                <w:rStyle w:val="11"/>
                <w:rFonts w:hint="default"/>
                <w:b/>
                <w:bCs/>
              </w:rPr>
              <w:t>中华人民共和国价格法</w:t>
            </w:r>
            <w:r>
              <w:rPr>
                <w:rFonts w:hint="eastAsia"/>
                <w:b/>
                <w:bCs/>
                <w:color w:val="000000"/>
                <w:sz w:val="22"/>
                <w:szCs w:val="22"/>
              </w:rPr>
              <w:br w:type="textWrapping"/>
            </w:r>
            <w:r>
              <w:rPr>
                <w:rStyle w:val="11"/>
                <w:rFonts w:hint="default"/>
                <w:b/>
                <w:bCs/>
              </w:rPr>
              <w:t>制止价格欺诈行为的规定</w:t>
            </w:r>
            <w:r>
              <w:rPr>
                <w:rFonts w:hint="eastAsia"/>
                <w:b/>
                <w:bCs/>
                <w:color w:val="000000"/>
                <w:sz w:val="22"/>
                <w:szCs w:val="22"/>
              </w:rPr>
              <w:br w:type="textWrapping"/>
            </w:r>
            <w:r>
              <w:rPr>
                <w:rStyle w:val="11"/>
                <w:rFonts w:hint="default"/>
                <w:b/>
                <w:bCs/>
              </w:rPr>
              <w:t>制止价格垄断行为暂行规定</w:t>
            </w:r>
          </w:p>
          <w:p>
            <w:pPr>
              <w:widowControl/>
              <w:jc w:val="left"/>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6"/>
            <w:vAlign w:val="center"/>
          </w:tcPr>
          <w:p>
            <w:pPr>
              <w:snapToGrid w:val="0"/>
              <w:spacing w:line="280" w:lineRule="exact"/>
              <w:jc w:val="center"/>
              <w:rPr>
                <w:b/>
                <w:sz w:val="20"/>
              </w:rPr>
            </w:pPr>
            <w:r>
              <w:rPr>
                <w:rFonts w:hint="eastAsia"/>
                <w:b/>
                <w:sz w:val="20"/>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6"/>
            <w:tcBorders>
              <w:bottom w:val="single" w:color="auto" w:sz="8" w:space="0"/>
            </w:tcBorders>
            <w:vAlign w:val="center"/>
          </w:tcPr>
          <w:p>
            <w:pPr>
              <w:snapToGrid w:val="0"/>
              <w:spacing w:line="280" w:lineRule="exact"/>
              <w:jc w:val="center"/>
              <w:rPr>
                <w:b/>
                <w:sz w:val="20"/>
              </w:rPr>
            </w:pPr>
          </w:p>
        </w:tc>
      </w:tr>
    </w:tbl>
    <w:p>
      <w:pPr>
        <w:snapToGrid w:val="0"/>
        <w:rPr>
          <w:rFonts w:ascii="宋体"/>
          <w:b/>
          <w:sz w:val="22"/>
          <w:szCs w:val="22"/>
        </w:rPr>
      </w:pPr>
    </w:p>
    <w:p>
      <w:pPr>
        <w:snapToGrid w:val="0"/>
        <w:rPr>
          <w:rFonts w:ascii="宋体"/>
          <w:b/>
          <w:sz w:val="22"/>
          <w:szCs w:val="22"/>
        </w:rPr>
      </w:pPr>
      <w:r>
        <w:rPr>
          <w:rFonts w:hint="eastAsia" w:ascii="宋体"/>
          <w:b/>
          <w:sz w:val="22"/>
          <w:szCs w:val="22"/>
        </w:rPr>
        <w:t>填表人</w:t>
      </w:r>
      <w:r>
        <w:rPr>
          <w:rFonts w:ascii="宋体"/>
          <w:b/>
          <w:sz w:val="22"/>
          <w:szCs w:val="22"/>
        </w:rPr>
        <w:t>(</w:t>
      </w:r>
      <w:r>
        <w:rPr>
          <w:rFonts w:hint="eastAsia" w:ascii="宋体"/>
          <w:b/>
          <w:sz w:val="22"/>
          <w:szCs w:val="22"/>
        </w:rPr>
        <w:t>专业人员</w:t>
      </w:r>
      <w:r>
        <w:rPr>
          <w:rFonts w:ascii="宋体"/>
          <w:b/>
          <w:sz w:val="22"/>
          <w:szCs w:val="22"/>
        </w:rPr>
        <w:t>)</w:t>
      </w:r>
      <w:r>
        <w:rPr>
          <w:rFonts w:hint="eastAsia" w:ascii="宋体"/>
          <w:b/>
          <w:sz w:val="18"/>
          <w:szCs w:val="18"/>
        </w:rPr>
        <w:t xml:space="preserve">：   李京田        </w:t>
      </w:r>
      <w:r>
        <w:rPr>
          <w:rFonts w:hint="eastAsia"/>
          <w:b/>
          <w:sz w:val="22"/>
          <w:szCs w:val="22"/>
        </w:rPr>
        <w:t>日期</w:t>
      </w:r>
      <w:r>
        <w:rPr>
          <w:rFonts w:hint="eastAsia"/>
          <w:b/>
          <w:sz w:val="18"/>
          <w:szCs w:val="18"/>
        </w:rPr>
        <w:t xml:space="preserve">： 2020.1.8        </w:t>
      </w:r>
      <w:r>
        <w:rPr>
          <w:rFonts w:hint="eastAsia" w:ascii="宋体"/>
          <w:b/>
          <w:sz w:val="22"/>
          <w:szCs w:val="22"/>
        </w:rPr>
        <w:t>审核组长</w:t>
      </w:r>
      <w:r>
        <w:rPr>
          <w:rFonts w:hint="eastAsia" w:ascii="宋体"/>
          <w:b/>
          <w:sz w:val="18"/>
          <w:szCs w:val="18"/>
        </w:rPr>
        <w:t xml:space="preserve">：  李京田         </w:t>
      </w:r>
      <w:r>
        <w:rPr>
          <w:rFonts w:hint="eastAsia"/>
          <w:b/>
          <w:sz w:val="22"/>
          <w:szCs w:val="22"/>
        </w:rPr>
        <w:t>日期</w:t>
      </w:r>
      <w:r>
        <w:rPr>
          <w:rFonts w:hint="eastAsia"/>
          <w:b/>
          <w:sz w:val="18"/>
          <w:szCs w:val="18"/>
        </w:rPr>
        <w:t>：2010.1.8</w:t>
      </w:r>
    </w:p>
    <w:p>
      <w:pPr>
        <w:snapToGrid w:val="0"/>
        <w:rPr>
          <w:rFonts w:ascii="宋体"/>
          <w:b/>
          <w:spacing w:val="-6"/>
          <w:sz w:val="18"/>
          <w:szCs w:val="18"/>
        </w:rPr>
      </w:pPr>
    </w:p>
    <w:p>
      <w:pPr>
        <w:snapToGrid w:val="0"/>
        <w:rPr>
          <w:rFonts w:ascii="宋体"/>
          <w:b/>
          <w:spacing w:val="-6"/>
          <w:sz w:val="20"/>
        </w:rPr>
      </w:pPr>
      <w:r>
        <w:rPr>
          <w:rFonts w:hint="eastAsia" w:ascii="宋体"/>
          <w:b/>
          <w:spacing w:val="-6"/>
          <w:sz w:val="18"/>
          <w:szCs w:val="18"/>
        </w:rPr>
        <w:t>注：</w:t>
      </w:r>
      <w:r>
        <w:rPr>
          <w:rFonts w:hint="eastAsia" w:ascii="宋体"/>
          <w:b/>
          <w:spacing w:val="-6"/>
          <w:sz w:val="21"/>
          <w:szCs w:val="21"/>
        </w:rPr>
        <w:t>如有其他培训内容或空格不够可另加附页</w:t>
      </w:r>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0000000000000000000"/>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pict>
        <v:shape id="图片 24" o:spid="_x0000_s3073" o:spt="75" type="#_x0000_t75" style="position:absolute;left:0pt;margin-left:-0.05pt;margin-top:0.35pt;height:34.1pt;width:32.3pt;mso-wrap-distance-left:9pt;mso-wrap-distance-right:9pt;z-index:-251659264;mso-width-relative:page;mso-height-relative:page;" filled="f" o:preferrelative="t" stroked="f" coordsize="21600,21600" wrapcoords="6028 0 3516 960 -502 5760 -502 11520 0 16800 7033 21120 9544 21120 14567 21120 15070 21120 20093 15360 21098 6240 17079 1920 14065 0 6028 0">
          <v:path/>
          <v:fill on="f" focussize="0,0"/>
          <v:stroke on="f" joinstyle="miter"/>
          <v:imagedata r:id="rId1" o:title=""/>
          <o:lock v:ext="edit" aspectratio="t"/>
          <w10:wrap type="tight"/>
        </v:shape>
      </w:pict>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ind w:firstLine="720" w:firstLineChars="400"/>
      <w:jc w:val="left"/>
    </w:pPr>
    <w:r>
      <w:pict>
        <v:shape id="文本框 1" o:spid="_x0000_s3074" o:spt="202" type="#_x0000_t202" style="position:absolute;left:0pt;margin-left:325.25pt;margin-top:2.2pt;height:20.2pt;width:159.25pt;z-index:251658240;mso-width-relative:page;mso-height-relative:page;" stroked="f" coordsize="21600,21600">
          <v:path/>
          <v:fill focussize="0,0"/>
          <v:stroke on="f" joinstyle="miter"/>
          <v:imagedata o:title=""/>
          <o:lock v:ext="edit"/>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-I-0</w:t>
                </w:r>
                <w:r>
                  <w:rPr>
                    <w:sz w:val="18"/>
                    <w:szCs w:val="18"/>
                  </w:rPr>
                  <w:t>6</w:t>
                </w:r>
                <w:r>
                  <w:rPr>
                    <w:rFonts w:hint="eastAsia"/>
                    <w:sz w:val="18"/>
                    <w:szCs w:val="18"/>
                  </w:rPr>
                  <w:t>专业培训记录(03版)</w:t>
                </w:r>
              </w:p>
            </w:txbxContent>
          </v:textbox>
        </v:shape>
      </w:pict>
    </w:r>
    <w:r>
      <w:rPr>
        <w:rStyle w:val="10"/>
        <w:rFonts w:hint="default"/>
        <w:w w:val="90"/>
      </w:rPr>
      <w:t>Beijing International Standard united Certification Co.,Ltd.</w:t>
    </w:r>
  </w:p>
  <w:p>
    <w:pPr>
      <w:pStyle w:val="4"/>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F560B"/>
    <w:rsid w:val="001367B5"/>
    <w:rsid w:val="005F560B"/>
    <w:rsid w:val="00634E0F"/>
    <w:rsid w:val="00784FD7"/>
    <w:rsid w:val="00804130"/>
    <w:rsid w:val="0085433E"/>
    <w:rsid w:val="00950F83"/>
    <w:rsid w:val="00E8511E"/>
    <w:rsid w:val="4E521D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7"/>
    <w:uiPriority w:val="99"/>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字符"/>
    <w:link w:val="3"/>
    <w:locked/>
    <w:uiPriority w:val="99"/>
    <w:rPr>
      <w:rFonts w:ascii="Times New Roman" w:hAnsi="Times New Roman" w:eastAsia="宋体" w:cs="Times New Roman"/>
      <w:sz w:val="18"/>
      <w:szCs w:val="18"/>
    </w:rPr>
  </w:style>
  <w:style w:type="character" w:customStyle="1" w:styleId="8">
    <w:name w:val="页眉 字符"/>
    <w:link w:val="4"/>
    <w:locked/>
    <w:uiPriority w:val="99"/>
    <w:rPr>
      <w:rFonts w:ascii="Times New Roman" w:hAnsi="Times New Roman" w:eastAsia="宋体" w:cs="Times New Roman"/>
      <w:sz w:val="18"/>
      <w:szCs w:val="18"/>
    </w:rPr>
  </w:style>
  <w:style w:type="character" w:customStyle="1" w:styleId="9">
    <w:name w:val="批注框文本 字符"/>
    <w:link w:val="2"/>
    <w:semiHidden/>
    <w:uiPriority w:val="99"/>
    <w:rPr>
      <w:rFonts w:ascii="Times New Roman" w:hAnsi="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 w:type="character" w:customStyle="1" w:styleId="11">
    <w:name w:val="fontstyle01"/>
    <w:basedOn w:val="6"/>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187</Words>
  <Characters>1072</Characters>
  <Lines>8</Lines>
  <Paragraphs>2</Paragraphs>
  <TotalTime>72</TotalTime>
  <ScaleCrop>false</ScaleCrop>
  <LinksUpToDate>false</LinksUpToDate>
  <CharactersWithSpaces>1257</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86136</cp:lastModifiedBy>
  <dcterms:modified xsi:type="dcterms:W3CDTF">2020-01-13T00:57:12Z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