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■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979"/>
        <w:gridCol w:w="2533"/>
        <w:gridCol w:w="1289"/>
        <w:gridCol w:w="1504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5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6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黔南兴隆生物科技有限公司</w:t>
            </w:r>
            <w:bookmarkEnd w:id="7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K-1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50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1035050" cy="599440"/>
                  <wp:effectExtent l="0" t="0" r="3175" b="635"/>
                  <wp:docPr id="3" name="图片 3" descr="肖新龙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肖新龙0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050" cy="599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271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97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b/>
                <w:sz w:val="20"/>
              </w:rPr>
            </w:pPr>
            <w:r>
              <w:drawing>
                <wp:inline distT="0" distB="0" distL="114300" distR="114300">
                  <wp:extent cx="1033780" cy="560705"/>
                  <wp:effectExtent l="0" t="0" r="4445" b="127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bright="41999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780" cy="560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3" w:type="dxa"/>
            <w:gridSpan w:val="6"/>
            <w:vAlign w:val="center"/>
          </w:tcPr>
          <w:p>
            <w:pPr>
              <w:snapToGrid w:val="0"/>
              <w:spacing w:line="24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重质碳酸钙生产工艺流程：</w:t>
            </w:r>
          </w:p>
          <w:p>
            <w:pPr>
              <w:snapToGrid w:val="0"/>
              <w:spacing w:line="24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方解石采购验收→挑选、清洗、晾干（必要时）→投料→粗粉碎→粉磨→分级→灌装→检验入库；</w:t>
            </w:r>
          </w:p>
          <w:p>
            <w:pPr>
              <w:snapToGrid w:val="0"/>
              <w:spacing w:line="240" w:lineRule="auto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3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生产过程/服务过程的风险及控制措施：</w:t>
            </w:r>
          </w:p>
          <w:p>
            <w:pPr>
              <w:numPr>
                <w:ilvl w:val="0"/>
                <w:numId w:val="1"/>
              </w:num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原材料采购验收：重金属、无机砷、铅、酸不溶性灰分、碳酸钙含量、铁含量等超标；控制措施：从合格供方采购、每年索取第三方检测报告或送检进行验证，每批入厂检验；</w:t>
            </w:r>
          </w:p>
          <w:p>
            <w:pPr>
              <w:numPr>
                <w:ilvl w:val="0"/>
                <w:numId w:val="1"/>
              </w:num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分级：异物混入；控制措施：依据作业指导书进行控制；</w:t>
            </w:r>
          </w:p>
          <w:p>
            <w:pPr>
              <w:numPr>
                <w:ilvl w:val="0"/>
                <w:numId w:val="1"/>
              </w:num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检验入库：重金属超标：控制措施：按照GB25572、</w:t>
            </w:r>
            <w:r>
              <w:rPr>
                <w:b/>
                <w:sz w:val="20"/>
              </w:rPr>
              <w:t>GB 1886.214</w:t>
            </w:r>
            <w:r>
              <w:rPr>
                <w:rFonts w:hint="eastAsia"/>
                <w:b/>
                <w:sz w:val="20"/>
              </w:rPr>
              <w:t>进行检验，合格入库；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3" w:type="dxa"/>
            <w:gridSpan w:val="6"/>
            <w:vAlign w:val="center"/>
          </w:tcPr>
          <w:p>
            <w:pPr>
              <w:numPr>
                <w:ilvl w:val="0"/>
                <w:numId w:val="2"/>
              </w:num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原料采购及验收：1.从合格供方采购、每年索取第三方检测报告或送检进行验证，每批入厂检验；2. 分级：依据作业指导书进行控制；3. 检验入库：按照GB25572、</w:t>
            </w:r>
            <w:r>
              <w:rPr>
                <w:b/>
                <w:sz w:val="20"/>
              </w:rPr>
              <w:t>GB 1886.214</w:t>
            </w:r>
            <w:r>
              <w:rPr>
                <w:rFonts w:hint="eastAsia"/>
                <w:b/>
                <w:sz w:val="20"/>
              </w:rPr>
              <w:t>进行检验，合格入库；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3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《中华人民共和国食品安全法》、GB 5009.75-2014《食品安全国家标准 食品添加剂中铅的测定》、GB 5009.74-2014《食品安全国家标准 食品添加剂中重金属限量试验》、GB 5009.76-2014《食品安全国家标准 食品添加剂中砷的测定》、GB 29924-2013《食品安全国家标准 食品添加剂标识通则》、GB25572-2010《食品安全国家标准 食品添加剂 氢氧化钙》、GB1886.214-2016《食品安全国家标准 食品添加剂 碳酸钙》、GB 2760-2014《食品安全国家标准 食品添加剂使用标准》、GB 31647-2018《食品安全国家标准 食品添加剂生产通用卫生规范》等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3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无型式检验要求；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每年按照产品标准要求，送检委托第三方检测1次，提供最新的产品检测报告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3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了解添加剂的食品安全特性指标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146685</wp:posOffset>
                  </wp:positionH>
                  <wp:positionV relativeFrom="paragraph">
                    <wp:posOffset>86995</wp:posOffset>
                  </wp:positionV>
                  <wp:extent cx="1035050" cy="599440"/>
                  <wp:effectExtent l="0" t="0" r="3175" b="635"/>
                  <wp:wrapTight wrapText="bothSides">
                    <wp:wrapPolygon>
                      <wp:start x="0" y="0"/>
                      <wp:lineTo x="0" y="21280"/>
                      <wp:lineTo x="21467" y="21280"/>
                      <wp:lineTo x="21467" y="0"/>
                      <wp:lineTo x="0" y="0"/>
                    </wp:wrapPolygon>
                  </wp:wrapTight>
                  <wp:docPr id="6" name="图片 6" descr="肖新龙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肖新龙0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050" cy="599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 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202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rFonts w:hint="eastAsia"/>
                <w:b/>
                <w:sz w:val="20"/>
                <w:lang w:val="en-US" w:eastAsia="zh-CN"/>
              </w:rPr>
              <w:t>09-26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374015</wp:posOffset>
                  </wp:positionH>
                  <wp:positionV relativeFrom="paragraph">
                    <wp:posOffset>-708025</wp:posOffset>
                  </wp:positionV>
                  <wp:extent cx="1035050" cy="599440"/>
                  <wp:effectExtent l="0" t="0" r="3175" b="635"/>
                  <wp:wrapTight wrapText="bothSides">
                    <wp:wrapPolygon>
                      <wp:start x="0" y="0"/>
                      <wp:lineTo x="0" y="21280"/>
                      <wp:lineTo x="21467" y="21280"/>
                      <wp:lineTo x="21467" y="0"/>
                      <wp:lineTo x="0" y="0"/>
                    </wp:wrapPolygon>
                  </wp:wrapTight>
                  <wp:docPr id="7" name="图片 7" descr="肖新龙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肖新龙0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050" cy="599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 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202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rFonts w:hint="eastAsia"/>
                <w:b/>
                <w:sz w:val="20"/>
                <w:lang w:val="en-US" w:eastAsia="zh-CN"/>
              </w:rPr>
              <w:t>09-26</w:t>
            </w:r>
          </w:p>
        </w:tc>
      </w:tr>
    </w:tbl>
    <w:p>
      <w:pPr>
        <w:snapToGrid w:val="0"/>
        <w:rPr>
          <w:rFonts w:hint="default" w:ascii="宋体"/>
          <w:b/>
          <w:sz w:val="22"/>
          <w:szCs w:val="22"/>
          <w:lang w:val="en-US" w:eastAsia="zh-CN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bookmarkStart w:id="9" w:name="_GoBack"/>
      <w:bookmarkEnd w:id="9"/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EF078D"/>
    <w:multiLevelType w:val="singleLevel"/>
    <w:tmpl w:val="BEEF078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279DA4E"/>
    <w:multiLevelType w:val="singleLevel"/>
    <w:tmpl w:val="0279DA4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2I4MGQzYmZlYjc0MTg3YzE3NjNlNzg5YWY5YjI1NjgifQ=="/>
  </w:docVars>
  <w:rsids>
    <w:rsidRoot w:val="00000000"/>
    <w:rsid w:val="68B040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肖新龙</cp:lastModifiedBy>
  <dcterms:modified xsi:type="dcterms:W3CDTF">2022-09-26T13:04:53Z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2052-11.1.0.12358</vt:lpwstr>
  </property>
</Properties>
</file>