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1068-2022-Q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北京云程万向信息技术有限公司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北京云程万向信息技术有限公司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北京市海淀区中关村南大街17号3号楼21层2106室</w:t>
            </w:r>
            <w:bookmarkEnd w:id="6"/>
          </w:p>
        </w:tc>
        <w:tc>
          <w:tcPr>
            <w:tcW w:w="1242" w:type="dxa"/>
            <w:vMerge w:val="restart"/>
            <w:vAlign w:val="center"/>
          </w:tcPr>
          <w:p>
            <w:r>
              <w:rPr>
                <w:rFonts w:hint="eastAsia"/>
              </w:rPr>
              <w:t>邮编</w:t>
            </w:r>
          </w:p>
        </w:tc>
        <w:tc>
          <w:tcPr>
            <w:tcW w:w="1771" w:type="dxa"/>
          </w:tcPr>
          <w:p>
            <w:bookmarkStart w:id="7" w:name="注册邮编"/>
            <w:r>
              <w:t>100080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北京市海淀区紫竹院街道中关村南大街17号韦伯时代中心C座2107室</w:t>
            </w:r>
            <w:bookmarkEnd w:id="8"/>
          </w:p>
        </w:tc>
        <w:tc>
          <w:tcPr>
            <w:tcW w:w="1242" w:type="dxa"/>
            <w:vMerge w:val="continue"/>
            <w:vAlign w:val="center"/>
          </w:tcPr>
          <w:p/>
        </w:tc>
        <w:tc>
          <w:tcPr>
            <w:tcW w:w="1771" w:type="dxa"/>
          </w:tcPr>
          <w:p>
            <w:bookmarkStart w:id="9" w:name="办公邮编"/>
            <w:r>
              <w:t>100080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张祺</w:t>
            </w:r>
            <w:bookmarkEnd w:id="10"/>
          </w:p>
        </w:tc>
        <w:tc>
          <w:tcPr>
            <w:tcW w:w="1313" w:type="dxa"/>
            <w:vAlign w:val="center"/>
          </w:tcPr>
          <w:p>
            <w:r>
              <w:rPr>
                <w:rFonts w:hint="eastAsia"/>
              </w:rPr>
              <w:t>电话.</w:t>
            </w:r>
          </w:p>
        </w:tc>
        <w:tc>
          <w:tcPr>
            <w:tcW w:w="2180" w:type="dxa"/>
            <w:vAlign w:val="center"/>
          </w:tcPr>
          <w:p>
            <w:bookmarkStart w:id="11" w:name="联系人电话"/>
            <w:r>
              <w:t>18031340426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陈光琰</w:t>
            </w:r>
            <w:bookmarkEnd w:id="13"/>
          </w:p>
        </w:tc>
        <w:tc>
          <w:tcPr>
            <w:tcW w:w="1313" w:type="dxa"/>
            <w:vAlign w:val="center"/>
          </w:tcPr>
          <w:p>
            <w:r>
              <w:rPr>
                <w:rFonts w:hint="eastAsia"/>
              </w:rPr>
              <w:t>管理者代表</w:t>
            </w:r>
          </w:p>
        </w:tc>
        <w:tc>
          <w:tcPr>
            <w:tcW w:w="2180" w:type="dxa"/>
          </w:tcPr>
          <w:p>
            <w:bookmarkStart w:id="14" w:name="管理者代表"/>
            <w:r>
              <w:t>李冲冲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val="de-DE"/>
              </w:rPr>
              <w:t>■</w:t>
            </w:r>
            <w:r>
              <w:rPr>
                <w:rFonts w:hint="eastAsia"/>
                <w:highlight w:val="none"/>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b w:val="0"/>
                <w:bCs/>
                <w:szCs w:val="24"/>
              </w:rPr>
              <w:t>需求分析→立项→</w:t>
            </w:r>
            <w:r>
              <w:rPr>
                <w:rFonts w:hint="eastAsia" w:ascii="宋体" w:hAnsi="宋体"/>
                <w:b w:val="0"/>
                <w:bCs/>
                <w:szCs w:val="24"/>
                <w:lang w:val="en-US" w:eastAsia="zh-CN"/>
              </w:rPr>
              <w:t>软件开发</w:t>
            </w:r>
            <w:r>
              <w:rPr>
                <w:rFonts w:hint="eastAsia" w:ascii="宋体" w:hAnsi="宋体"/>
                <w:b w:val="0"/>
                <w:bCs/>
                <w:szCs w:val="24"/>
              </w:rPr>
              <w:t>→</w:t>
            </w:r>
            <w:r>
              <w:rPr>
                <w:rFonts w:hint="eastAsia" w:ascii="宋体" w:hAnsi="宋体"/>
                <w:b w:val="0"/>
                <w:bCs/>
                <w:szCs w:val="24"/>
                <w:lang w:val="en-US" w:eastAsia="zh-CN"/>
              </w:rPr>
              <w:t>软件代码编写</w:t>
            </w:r>
            <w:r>
              <w:rPr>
                <w:rFonts w:hint="eastAsia" w:ascii="宋体" w:hAnsi="宋体"/>
                <w:b w:val="0"/>
                <w:bCs/>
                <w:szCs w:val="24"/>
              </w:rPr>
              <w:t>→软件测试→试运行→</w:t>
            </w:r>
            <w:r>
              <w:rPr>
                <w:rFonts w:hint="eastAsia" w:ascii="宋体" w:hAnsi="宋体"/>
                <w:b w:val="0"/>
                <w:bCs/>
                <w:szCs w:val="24"/>
                <w:lang w:eastAsia="zh-CN"/>
              </w:rPr>
              <w:t>交付</w:t>
            </w:r>
            <w:r>
              <w:rPr>
                <w:rFonts w:hint="eastAsia" w:ascii="宋体" w:hAnsi="宋体"/>
                <w:b w:val="0"/>
                <w:bCs/>
                <w:szCs w:val="24"/>
              </w:rPr>
              <w:t>→</w:t>
            </w:r>
            <w:r>
              <w:rPr>
                <w:rFonts w:hint="eastAsia" w:ascii="宋体" w:hAnsi="宋体"/>
                <w:b w:val="0"/>
                <w:bCs/>
                <w:szCs w:val="24"/>
                <w:lang w:eastAsia="zh-CN"/>
              </w:rPr>
              <w:t>客户验收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8"/>
        <w:gridCol w:w="244"/>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2022年09月25日 上午至2022年09月25日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北京市海淀区紫竹院街道中关村南大街17号韦伯时代中心C座2107室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8" w:type="dxa"/>
            <w:vMerge w:val="restart"/>
            <w:vAlign w:val="center"/>
          </w:tcPr>
          <w:p>
            <w:pPr>
              <w:rPr>
                <w:rFonts w:hint="eastAsia" w:eastAsia="宋体"/>
                <w:lang w:val="en-US" w:eastAsia="zh-CN"/>
              </w:rPr>
            </w:pPr>
            <w:r>
              <w:rPr>
                <w:rFonts w:hint="eastAsia"/>
              </w:rPr>
              <w:t>审</w:t>
            </w:r>
            <w:r>
              <w:rPr>
                <w:rFonts w:hint="eastAsia"/>
                <w:lang w:val="en-US" w:eastAsia="zh-CN"/>
              </w:rPr>
              <w:t>核</w:t>
            </w:r>
            <w:r>
              <w:rPr>
                <w:rFonts w:hint="eastAsia"/>
              </w:rPr>
              <w:t>范</w:t>
            </w:r>
            <w:r>
              <w:rPr>
                <w:rFonts w:hint="eastAsia"/>
                <w:lang w:val="en-US" w:eastAsia="zh-CN"/>
              </w:rPr>
              <w:t>围</w:t>
            </w:r>
          </w:p>
        </w:tc>
        <w:tc>
          <w:tcPr>
            <w:tcW w:w="4860" w:type="dxa"/>
            <w:gridSpan w:val="3"/>
            <w:vMerge w:val="restart"/>
            <w:vAlign w:val="center"/>
          </w:tcPr>
          <w:p>
            <w:bookmarkStart w:id="29" w:name="审核范围"/>
            <w:r>
              <w:t>计算机应用软件开发</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8" w:type="dxa"/>
            <w:vMerge w:val="continue"/>
            <w:vAlign w:val="center"/>
          </w:tcPr>
          <w:p/>
        </w:tc>
        <w:tc>
          <w:tcPr>
            <w:tcW w:w="4860" w:type="dxa"/>
            <w:gridSpan w:val="3"/>
            <w:vMerge w:val="continue"/>
            <w:vAlign w:val="center"/>
          </w:tcPr>
          <w:p/>
        </w:tc>
        <w:tc>
          <w:tcPr>
            <w:tcW w:w="3215" w:type="dxa"/>
            <w:vAlign w:val="center"/>
          </w:tcPr>
          <w:p>
            <w:bookmarkStart w:id="30" w:name="专业代码"/>
            <w:r>
              <w:t>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925"/>
        <w:gridCol w:w="1905"/>
        <w:gridCol w:w="615"/>
        <w:gridCol w:w="1395"/>
        <w:gridCol w:w="128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101" w:type="dxa"/>
            <w:shd w:val="clear" w:color="auto" w:fill="F3F3F3"/>
            <w:tcMar>
              <w:left w:w="57" w:type="dxa"/>
              <w:right w:w="57" w:type="dxa"/>
            </w:tcMar>
          </w:tcPr>
          <w:p>
            <w:r>
              <w:rPr>
                <w:rFonts w:hint="eastAsia"/>
              </w:rPr>
              <w:t>场所编号</w:t>
            </w:r>
          </w:p>
          <w:p>
            <w:r>
              <w:rPr>
                <w:rFonts w:hint="eastAsia"/>
              </w:rPr>
              <w:t>(分证书序号）</w:t>
            </w:r>
          </w:p>
        </w:tc>
        <w:tc>
          <w:tcPr>
            <w:tcW w:w="2925" w:type="dxa"/>
            <w:shd w:val="clear" w:color="auto" w:fill="F3F3F3"/>
            <w:tcMar>
              <w:left w:w="57" w:type="dxa"/>
              <w:right w:w="57" w:type="dxa"/>
            </w:tcMar>
          </w:tcPr>
          <w:p>
            <w:r>
              <w:rPr>
                <w:rFonts w:hint="eastAsia"/>
              </w:rPr>
              <w:t>组织名称及注册场所地址</w:t>
            </w:r>
          </w:p>
        </w:tc>
        <w:tc>
          <w:tcPr>
            <w:tcW w:w="1905" w:type="dxa"/>
            <w:shd w:val="clear" w:color="auto" w:fill="F3F3F3"/>
            <w:tcMar>
              <w:left w:w="57" w:type="dxa"/>
              <w:right w:w="57" w:type="dxa"/>
            </w:tcMar>
          </w:tcPr>
          <w:p>
            <w:r>
              <w:rPr>
                <w:rFonts w:hint="eastAsia"/>
              </w:rPr>
              <w:t>经营场所的地址</w:t>
            </w:r>
          </w:p>
          <w:p>
            <w:r>
              <w:rPr>
                <w:rFonts w:hint="eastAsia"/>
              </w:rPr>
              <w:t>（多现场和临时现场）</w:t>
            </w:r>
          </w:p>
        </w:tc>
        <w:tc>
          <w:tcPr>
            <w:tcW w:w="615" w:type="dxa"/>
            <w:shd w:val="clear" w:color="auto" w:fill="F3F3F3"/>
            <w:tcMar>
              <w:left w:w="57" w:type="dxa"/>
              <w:right w:w="57" w:type="dxa"/>
            </w:tcMar>
          </w:tcPr>
          <w:p>
            <w:r>
              <w:rPr>
                <w:rFonts w:hint="eastAsia"/>
              </w:rPr>
              <w:t>员工人数</w:t>
            </w:r>
          </w:p>
        </w:tc>
        <w:tc>
          <w:tcPr>
            <w:tcW w:w="1395" w:type="dxa"/>
            <w:shd w:val="clear" w:color="auto" w:fill="F3F3F3"/>
            <w:tcMar>
              <w:left w:w="57" w:type="dxa"/>
              <w:right w:w="57" w:type="dxa"/>
            </w:tcMar>
          </w:tcPr>
          <w:p>
            <w:r>
              <w:rPr>
                <w:rFonts w:hint="eastAsia"/>
              </w:rPr>
              <w:t>审核范围（产品和过程）</w:t>
            </w:r>
          </w:p>
          <w:p/>
          <w:p/>
        </w:tc>
        <w:tc>
          <w:tcPr>
            <w:tcW w:w="128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101" w:type="dxa"/>
            <w:vAlign w:val="center"/>
          </w:tcPr>
          <w:p>
            <w:pPr>
              <w:rPr>
                <w:lang w:eastAsia="ja-JP"/>
              </w:rPr>
            </w:pPr>
            <w:r>
              <w:rPr>
                <w:rFonts w:hint="eastAsia"/>
                <w:lang w:eastAsia="ja-JP"/>
              </w:rPr>
              <w:t>01</w:t>
            </w:r>
          </w:p>
        </w:tc>
        <w:tc>
          <w:tcPr>
            <w:tcW w:w="2925" w:type="dxa"/>
            <w:vAlign w:val="top"/>
          </w:tcPr>
          <w:p>
            <w:pPr>
              <w:spacing w:before="40" w:after="4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北京云程万向信息技术有限公司</w:t>
            </w:r>
          </w:p>
          <w:p>
            <w:pPr>
              <w:spacing w:before="40" w:after="40"/>
              <w:rPr>
                <w:rFonts w:hint="eastAsia" w:ascii="宋体" w:hAnsi="宋体" w:eastAsia="宋体" w:cs="宋体"/>
                <w:kern w:val="2"/>
                <w:sz w:val="21"/>
                <w:szCs w:val="21"/>
                <w:lang w:val="de-DE" w:eastAsia="ja-JP" w:bidi="ar-SA"/>
              </w:rPr>
            </w:pPr>
            <w:r>
              <w:rPr>
                <w:rFonts w:hint="eastAsia" w:ascii="宋体" w:hAnsi="宋体" w:eastAsia="宋体" w:cs="宋体"/>
                <w:color w:val="000000"/>
                <w:kern w:val="0"/>
                <w:sz w:val="21"/>
                <w:szCs w:val="21"/>
              </w:rPr>
              <w:t>北京市海淀区中关村南大街17号3号楼21层2106室</w:t>
            </w:r>
          </w:p>
        </w:tc>
        <w:tc>
          <w:tcPr>
            <w:tcW w:w="1905" w:type="dxa"/>
            <w:vAlign w:val="top"/>
          </w:tcPr>
          <w:p>
            <w:pPr>
              <w:spacing w:before="40" w:after="40"/>
              <w:rPr>
                <w:rFonts w:hint="eastAsia" w:ascii="宋体" w:hAnsi="宋体" w:eastAsia="宋体" w:cs="宋体"/>
                <w:kern w:val="2"/>
                <w:sz w:val="21"/>
                <w:szCs w:val="21"/>
                <w:lang w:val="de-DE" w:eastAsia="ja-JP" w:bidi="ar-SA"/>
              </w:rPr>
            </w:pPr>
            <w:r>
              <w:rPr>
                <w:rFonts w:hint="eastAsia" w:ascii="宋体" w:hAnsi="宋体" w:eastAsia="宋体" w:cs="宋体"/>
                <w:color w:val="000000"/>
                <w:kern w:val="0"/>
                <w:sz w:val="21"/>
                <w:szCs w:val="21"/>
              </w:rPr>
              <w:t>北京市海淀区紫竹院街道中关村南大街17号韦伯时代中心C座2107室</w:t>
            </w:r>
          </w:p>
        </w:tc>
        <w:tc>
          <w:tcPr>
            <w:tcW w:w="615" w:type="dxa"/>
            <w:vAlign w:val="center"/>
          </w:tcPr>
          <w:p>
            <w:pPr>
              <w:spacing w:before="40" w:after="40"/>
              <w:rPr>
                <w:rFonts w:hint="eastAsia" w:ascii="宋体" w:hAnsi="宋体" w:eastAsia="宋体" w:cs="宋体"/>
                <w:kern w:val="2"/>
                <w:sz w:val="21"/>
                <w:szCs w:val="21"/>
                <w:lang w:val="en-US" w:eastAsia="ja-JP" w:bidi="ar-SA"/>
              </w:rPr>
            </w:pPr>
            <w:r>
              <w:rPr>
                <w:rFonts w:hint="eastAsia" w:ascii="宋体" w:hAnsi="宋体" w:eastAsia="宋体" w:cs="宋体"/>
                <w:sz w:val="21"/>
                <w:szCs w:val="21"/>
                <w:lang w:val="en-US" w:eastAsia="zh-CN"/>
              </w:rPr>
              <w:t>5</w:t>
            </w:r>
          </w:p>
        </w:tc>
        <w:tc>
          <w:tcPr>
            <w:tcW w:w="1395" w:type="dxa"/>
            <w:vAlign w:val="center"/>
          </w:tcPr>
          <w:p>
            <w:pPr>
              <w:pStyle w:val="20"/>
              <w:rPr>
                <w:rFonts w:hint="eastAsia" w:ascii="宋体" w:hAnsi="宋体" w:eastAsia="宋体" w:cs="宋体"/>
                <w:kern w:val="2"/>
                <w:sz w:val="21"/>
                <w:szCs w:val="21"/>
                <w:lang w:val="en-US" w:eastAsia="ja-JP" w:bidi="ar-SA"/>
              </w:rPr>
            </w:pPr>
            <w:r>
              <w:rPr>
                <w:rFonts w:hint="eastAsia" w:ascii="宋体" w:hAnsi="宋体" w:eastAsia="宋体" w:cs="宋体"/>
                <w:color w:val="000000"/>
                <w:kern w:val="0"/>
                <w:sz w:val="21"/>
                <w:szCs w:val="21"/>
              </w:rPr>
              <w:t>计算机应用软件开发</w:t>
            </w:r>
          </w:p>
        </w:tc>
        <w:tc>
          <w:tcPr>
            <w:tcW w:w="1283" w:type="dxa"/>
            <w:vAlign w:val="center"/>
          </w:tcPr>
          <w:p>
            <w:pPr>
              <w:spacing w:before="40" w:after="40"/>
              <w:rPr>
                <w:rFonts w:hint="eastAsia" w:ascii="宋体" w:hAnsi="宋体" w:eastAsia="宋体" w:cs="宋体"/>
                <w:kern w:val="2"/>
                <w:sz w:val="21"/>
                <w:szCs w:val="21"/>
                <w:lang w:val="en-US" w:eastAsia="ja-JP" w:bidi="ar-SA"/>
              </w:rPr>
            </w:pPr>
            <w:r>
              <w:rPr>
                <w:rFonts w:hint="eastAsia" w:ascii="宋体" w:hAnsi="宋体" w:eastAsia="宋体" w:cs="宋体"/>
                <w:color w:val="000000"/>
                <w:kern w:val="0"/>
                <w:sz w:val="21"/>
                <w:szCs w:val="21"/>
              </w:rPr>
              <w:t>GB/T19001-2016/ISO9001:2015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Align w:val="center"/>
          </w:tcPr>
          <w:p>
            <w:pPr>
              <w:rPr>
                <w:lang w:eastAsia="ja-JP"/>
              </w:rPr>
            </w:pPr>
            <w:r>
              <w:rPr>
                <w:rFonts w:hint="eastAsia"/>
                <w:lang w:eastAsia="ja-JP"/>
              </w:rPr>
              <w:t>02</w:t>
            </w:r>
          </w:p>
        </w:tc>
        <w:tc>
          <w:tcPr>
            <w:tcW w:w="2925" w:type="dxa"/>
            <w:vAlign w:val="center"/>
          </w:tcPr>
          <w:p>
            <w:pPr>
              <w:rPr>
                <w:lang w:eastAsia="ja-JP"/>
              </w:rPr>
            </w:pPr>
          </w:p>
        </w:tc>
        <w:tc>
          <w:tcPr>
            <w:tcW w:w="1905" w:type="dxa"/>
            <w:vAlign w:val="center"/>
          </w:tcPr>
          <w:p>
            <w:pPr>
              <w:rPr>
                <w:lang w:eastAsia="ja-JP"/>
              </w:rPr>
            </w:pPr>
          </w:p>
        </w:tc>
        <w:tc>
          <w:tcPr>
            <w:tcW w:w="615" w:type="dxa"/>
            <w:vAlign w:val="center"/>
          </w:tcPr>
          <w:p>
            <w:pPr>
              <w:rPr>
                <w:lang w:eastAsia="ja-JP"/>
              </w:rPr>
            </w:pPr>
          </w:p>
        </w:tc>
        <w:tc>
          <w:tcPr>
            <w:tcW w:w="1395" w:type="dxa"/>
            <w:vAlign w:val="center"/>
          </w:tcPr>
          <w:p>
            <w:pPr>
              <w:rPr>
                <w:lang w:eastAsia="ja-JP"/>
              </w:rPr>
            </w:pPr>
          </w:p>
        </w:tc>
        <w:tc>
          <w:tcPr>
            <w:tcW w:w="1283"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r>
              <w:t>夏爱俭</w:t>
            </w:r>
          </w:p>
        </w:tc>
        <w:tc>
          <w:tcPr>
            <w:tcW w:w="1089" w:type="dxa"/>
            <w:vAlign w:val="center"/>
          </w:tcPr>
          <w:p>
            <w:r>
              <w:t>组长</w:t>
            </w:r>
          </w:p>
        </w:tc>
        <w:tc>
          <w:tcPr>
            <w:tcW w:w="711" w:type="dxa"/>
            <w:vAlign w:val="center"/>
          </w:tcPr>
          <w:p>
            <w:r>
              <w:t>女</w:t>
            </w:r>
          </w:p>
        </w:tc>
        <w:tc>
          <w:tcPr>
            <w:tcW w:w="3870" w:type="dxa"/>
            <w:vAlign w:val="center"/>
          </w:tcPr>
          <w:p>
            <w:r>
              <w:t>2020-N1QMS-1226516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r>
              <w:t>张世君</w:t>
            </w:r>
          </w:p>
        </w:tc>
        <w:tc>
          <w:tcPr>
            <w:tcW w:w="1089" w:type="dxa"/>
            <w:vAlign w:val="center"/>
          </w:tcPr>
          <w:p>
            <w:r>
              <w:t>组员</w:t>
            </w:r>
          </w:p>
        </w:tc>
        <w:tc>
          <w:tcPr>
            <w:tcW w:w="711" w:type="dxa"/>
            <w:vAlign w:val="center"/>
          </w:tcPr>
          <w:p>
            <w:r>
              <w:t>女</w:t>
            </w:r>
          </w:p>
        </w:tc>
        <w:tc>
          <w:tcPr>
            <w:tcW w:w="3870" w:type="dxa"/>
            <w:vAlign w:val="center"/>
          </w:tcPr>
          <w:p>
            <w:r>
              <w:t>退休</w:t>
            </w:r>
          </w:p>
        </w:tc>
        <w:tc>
          <w:tcPr>
            <w:tcW w:w="2179" w:type="dxa"/>
            <w:vAlign w:val="center"/>
          </w:tcPr>
          <w:p>
            <w: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de-DE"/>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1</w:t>
            </w:r>
          </w:p>
        </w:tc>
        <w:tc>
          <w:tcPr>
            <w:tcW w:w="1717" w:type="dxa"/>
          </w:tcPr>
          <w:p>
            <w:pPr>
              <w:jc w:val="center"/>
            </w:pPr>
          </w:p>
        </w:tc>
        <w:tc>
          <w:tcPr>
            <w:tcW w:w="1560" w:type="dxa"/>
          </w:tcPr>
          <w:p>
            <w:pPr>
              <w:jc w:val="center"/>
              <w:rPr>
                <w:rFonts w:hint="eastAsia" w:eastAsia="宋体"/>
                <w:lang w:val="en-US" w:eastAsia="zh-CN"/>
              </w:rPr>
            </w:pPr>
            <w:r>
              <w:rPr>
                <w:rFonts w:hint="eastAsia"/>
                <w:lang w:val="en-US" w:eastAsia="zh-CN"/>
              </w:rPr>
              <w:t>1</w:t>
            </w: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highlight w:val="none"/>
              </w:rPr>
            </w:pPr>
            <w:r>
              <w:rPr>
                <w:rFonts w:hint="eastAsia"/>
                <w:highlight w:val="none"/>
              </w:rPr>
              <w:t>审核组推荐意见</w:t>
            </w:r>
          </w:p>
          <w:p>
            <w:pPr>
              <w:rPr>
                <w:rFonts w:hint="eastAsia" w:eastAsia="宋体"/>
                <w:lang w:eastAsia="zh-CN"/>
              </w:rPr>
            </w:pPr>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-546100</wp:posOffset>
                  </wp:positionH>
                  <wp:positionV relativeFrom="paragraph">
                    <wp:posOffset>-3856990</wp:posOffset>
                  </wp:positionV>
                  <wp:extent cx="7529830" cy="10697210"/>
                  <wp:effectExtent l="0" t="0" r="13970" b="8890"/>
                  <wp:wrapNone/>
                  <wp:docPr id="1" name="图片 1" descr="D ISC-B-II-13A 管理体系审核报告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I-13A 管理体系审核报告Q"/>
                          <pic:cNvPicPr>
                            <a:picLocks noChangeAspect="1"/>
                          </pic:cNvPicPr>
                        </pic:nvPicPr>
                        <pic:blipFill>
                          <a:blip r:embed="rId6"/>
                          <a:stretch>
                            <a:fillRect/>
                          </a:stretch>
                        </pic:blipFill>
                        <pic:spPr>
                          <a:xfrm>
                            <a:off x="0" y="0"/>
                            <a:ext cx="7529830" cy="10697210"/>
                          </a:xfrm>
                          <a:prstGeom prst="rect">
                            <a:avLst/>
                          </a:prstGeom>
                        </pic:spPr>
                      </pic:pic>
                    </a:graphicData>
                  </a:graphic>
                </wp:anchor>
              </w:drawing>
            </w: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keepNext w:val="0"/>
        <w:keepLines w:val="0"/>
        <w:pageBreakBefore/>
        <w:widowControl w:val="0"/>
        <w:kinsoku/>
        <w:wordWrap/>
        <w:overflowPunct/>
        <w:topLinePunct w:val="0"/>
        <w:autoSpaceDE/>
        <w:autoSpaceDN/>
        <w:bidi w:val="0"/>
        <w:adjustRightInd/>
        <w:snapToGrid/>
        <w:textAlignment w:val="auto"/>
        <w:rPr>
          <w:shd w:val="clear" w:color="FFFFFF" w:fill="D9D9D9"/>
        </w:rPr>
      </w:pPr>
      <w:r>
        <w:rPr>
          <w:shd w:val="clear" w:color="FFFFFF" w:fill="D9D9D9"/>
        </w:rPr>
        <w:t xml:space="preserve">附件ISO 9001:2015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val="de-DE"/>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val="de-DE"/>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val="de-DE"/>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val="de-DE"/>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val="de-DE"/>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val="de-DE"/>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lang w:val="de-DE"/>
              </w:rPr>
              <w:t>■</w:t>
            </w:r>
            <w:r>
              <w:rPr>
                <w:rFonts w:hint="eastAsia"/>
              </w:rPr>
              <w:t>合同评审</w:t>
            </w:r>
            <w:r>
              <w:rPr>
                <w:rFonts w:hint="eastAsia"/>
                <w:lang w:val="de-DE"/>
              </w:rPr>
              <w:t>■</w:t>
            </w:r>
            <w:r>
              <w:rPr>
                <w:rFonts w:hint="eastAsia"/>
              </w:rPr>
              <w:t>知识保密</w:t>
            </w:r>
          </w:p>
          <w:p>
            <w:pPr>
              <w:shd w:val="clear" w:color="auto" w:fill="C7DAF1" w:themeFill="text2" w:themeFillTint="32"/>
              <w:spacing w:before="40" w:after="40"/>
            </w:pPr>
            <w:r>
              <w:rPr>
                <w:rFonts w:hint="eastAsia"/>
                <w:lang w:val="de-DE"/>
              </w:rPr>
              <w:t>■</w:t>
            </w:r>
            <w:r>
              <w:rPr>
                <w:rFonts w:hint="eastAsia"/>
              </w:rPr>
              <w:t>新产品设计开发</w:t>
            </w:r>
            <w:r>
              <w:rPr>
                <w:rFonts w:hint="eastAsia"/>
              </w:rPr>
              <w:sym w:font="Wingdings 2" w:char="00A3"/>
            </w:r>
            <w:r>
              <w:rPr>
                <w:rFonts w:hint="eastAsia"/>
              </w:rPr>
              <w:t>原材料采购</w:t>
            </w:r>
            <w:r>
              <w:rPr>
                <w:rFonts w:hint="eastAsia"/>
                <w:lang w:val="de-DE"/>
              </w:rPr>
              <w:t>■</w:t>
            </w:r>
            <w:r>
              <w:rPr>
                <w:rFonts w:hint="eastAsia"/>
              </w:rPr>
              <w:t>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ind w:firstLine="211" w:firstLineChars="100"/>
              <w:rPr>
                <w:u w:val="single"/>
              </w:rPr>
            </w:pPr>
            <w:r>
              <w:rPr>
                <w:rFonts w:ascii="宋体" w:hAnsi="宋体"/>
                <w:b/>
                <w:bCs/>
                <w:szCs w:val="24"/>
                <w:lang w:eastAsia="zh-CN"/>
              </w:rPr>
              <w:t>自主创新，</w:t>
            </w:r>
            <w:r>
              <w:rPr>
                <w:rFonts w:hint="eastAsia" w:ascii="宋体" w:hAnsi="宋体"/>
                <w:b/>
                <w:bCs/>
                <w:szCs w:val="24"/>
                <w:lang w:eastAsia="zh-CN"/>
              </w:rPr>
              <w:t>质量优良；持续改进；顾客满意。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对市场需要产品的发展趋势判断失误；客户要求识别不完整；未能确保能够满足客户要求就签署合</w:t>
                  </w:r>
                </w:p>
              </w:tc>
              <w:tc>
                <w:tcPr>
                  <w:tcW w:w="3965"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对市场需求产品的发展趋势分析应该经过反复论证；、对客户的要求实施监视和测量；在确定与客户签署合同前落实合同评审事宜。</w:t>
                  </w:r>
                </w:p>
              </w:tc>
              <w:tc>
                <w:tcPr>
                  <w:tcW w:w="1717" w:type="dxa"/>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不能按时交付；交付的产品不符合客户的要求</w:t>
                  </w:r>
                </w:p>
              </w:tc>
              <w:tc>
                <w:tcPr>
                  <w:tcW w:w="3965"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销售计划管制；销售过程的品质控制；产品/服务的品质检验。</w:t>
                  </w:r>
                </w:p>
              </w:tc>
              <w:tc>
                <w:tcPr>
                  <w:tcW w:w="1717" w:type="dxa"/>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和竞争对手相比的优劣势分析失误，导致业务萎缩</w:t>
                  </w:r>
                </w:p>
              </w:tc>
              <w:tc>
                <w:tcPr>
                  <w:tcW w:w="3965"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对竞争对手的调查分析应严谨细致；加强公司内部的研发能力和技术积累，随时保持在行业顶尖水准</w:t>
                  </w:r>
                </w:p>
              </w:tc>
              <w:tc>
                <w:tcPr>
                  <w:tcW w:w="1717" w:type="dxa"/>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ascii="宋体" w:hAnsi="宋体"/>
                      <w:szCs w:val="24"/>
                      <w:lang w:eastAsia="zh-CN"/>
                    </w:rPr>
                    <w:t xml:space="preserve">软件（产品）交付合格率 </w:t>
                  </w:r>
                  <w:r>
                    <w:rPr>
                      <w:rFonts w:hint="eastAsia" w:ascii="宋体" w:hAnsi="宋体"/>
                      <w:szCs w:val="24"/>
                      <w:lang w:eastAsia="zh-CN"/>
                    </w:rPr>
                    <w:t>100</w:t>
                  </w:r>
                  <w:r>
                    <w:rPr>
                      <w:rFonts w:ascii="宋体" w:hAnsi="宋体"/>
                      <w:szCs w:val="24"/>
                      <w:lang w:eastAsia="zh-CN"/>
                    </w:rPr>
                    <w:t>%</w:t>
                  </w:r>
                </w:p>
              </w:tc>
              <w:tc>
                <w:tcPr>
                  <w:tcW w:w="3136" w:type="dxa"/>
                  <w:shd w:val="clear" w:color="auto" w:fill="auto"/>
                  <w:vAlign w:val="center"/>
                </w:tcPr>
                <w:p>
                  <w:pPr>
                    <w:shd w:val="clear" w:color="auto" w:fill="C7DAF1" w:themeFill="text2" w:themeFillTint="32"/>
                    <w:rPr>
                      <w:lang w:val="en-GB"/>
                    </w:rPr>
                  </w:pPr>
                  <w:r>
                    <w:rPr>
                      <w:rFonts w:hint="eastAsia" w:ascii="宋体" w:hAnsi="宋体" w:cs="宋体"/>
                      <w:szCs w:val="21"/>
                      <w:highlight w:val="none"/>
                    </w:rPr>
                    <w:t>交付产品合格数÷交付总数总数*100%</w:t>
                  </w:r>
                </w:p>
              </w:tc>
              <w:tc>
                <w:tcPr>
                  <w:tcW w:w="1350" w:type="dxa"/>
                  <w:shd w:val="clear" w:color="auto" w:fill="auto"/>
                  <w:vAlign w:val="center"/>
                </w:tcPr>
                <w:p>
                  <w:pPr>
                    <w:shd w:val="clear" w:color="auto" w:fill="C7DAF1" w:themeFill="text2" w:themeFillTint="32"/>
                    <w:jc w:val="center"/>
                    <w:rPr>
                      <w:rFonts w:hint="default" w:eastAsia="宋体"/>
                      <w:lang w:val="en-US" w:eastAsia="zh-CN"/>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4"/>
                      <w:lang w:eastAsia="zh-CN"/>
                    </w:rPr>
                    <w:t>顾客满意率≥95%</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Cs w:val="21"/>
                      <w:highlight w:val="none"/>
                    </w:rPr>
                    <w:t>回收有效的顾客满意度调查得分加和÷回收份数*100%</w:t>
                  </w:r>
                </w:p>
              </w:tc>
              <w:tc>
                <w:tcPr>
                  <w:tcW w:w="1350"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bookmarkStart w:id="34" w:name="OLE_LINK1"/>
            <w:r>
              <w:rPr>
                <w:rFonts w:hint="eastAsia"/>
                <w:lang w:val="de-DE"/>
              </w:rPr>
              <w:t>■</w:t>
            </w:r>
            <w:bookmarkEnd w:id="34"/>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w:t>
            </w:r>
            <w:r>
              <w:rPr>
                <w:rFonts w:hint="eastAsia"/>
                <w:highlight w:val="none"/>
              </w:rPr>
              <w:t>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lang w:val="en-US" w:eastAsia="zh-CN"/>
              </w:rPr>
              <w:t>95</w:t>
            </w:r>
            <w:r>
              <w:rPr>
                <w:rFonts w:hint="eastAsia"/>
                <w:highlight w:val="none"/>
              </w:rPr>
              <w:t>平方米；生产车间</w:t>
            </w:r>
            <w:r>
              <w:rPr>
                <w:rFonts w:hint="eastAsia"/>
                <w:highlight w:val="none"/>
                <w:lang w:val="en-US" w:eastAsia="zh-CN"/>
              </w:rPr>
              <w:t>0</w:t>
            </w:r>
            <w:r>
              <w:rPr>
                <w:rFonts w:hint="eastAsia"/>
                <w:highlight w:val="none"/>
              </w:rPr>
              <w:t>个；库房</w:t>
            </w:r>
            <w:r>
              <w:rPr>
                <w:rFonts w:hint="eastAsia"/>
                <w:highlight w:val="none"/>
                <w:lang w:val="en-US" w:eastAsia="zh-CN"/>
              </w:rPr>
              <w:t>0个</w:t>
            </w:r>
            <w:r>
              <w:rPr>
                <w:rFonts w:hint="eastAsia"/>
                <w:highlight w:val="none"/>
              </w:rPr>
              <w:t>；实验室</w:t>
            </w:r>
            <w:r>
              <w:rPr>
                <w:rFonts w:hint="eastAsia"/>
                <w:highlight w:val="none"/>
                <w:lang w:val="en-US" w:eastAsia="zh-CN"/>
              </w:rPr>
              <w:t>0</w:t>
            </w:r>
            <w:r>
              <w:rPr>
                <w:rFonts w:hint="eastAsia"/>
                <w:highlight w:val="none"/>
              </w:rPr>
              <w:t>个；</w:t>
            </w:r>
          </w:p>
          <w:p>
            <w:pPr>
              <w:shd w:val="clear" w:color="auto" w:fill="C7DAF1" w:themeFill="text2" w:themeFillTint="32"/>
              <w:rPr>
                <w:rFonts w:hint="default"/>
                <w:lang w:val="en-US" w:eastAsia="zh-CN"/>
              </w:rPr>
            </w:pPr>
            <w:r>
              <w:rPr>
                <w:rFonts w:hint="eastAsia"/>
              </w:rPr>
              <w:t>主要生产设备有：</w:t>
            </w:r>
            <w:r>
              <w:rPr>
                <w:rFonts w:hint="eastAsia"/>
                <w:lang w:val="en-US" w:eastAsia="zh-CN"/>
              </w:rPr>
              <w:t>电脑、打印机、空调、办公桌椅等</w:t>
            </w:r>
          </w:p>
          <w:p>
            <w:pPr>
              <w:shd w:val="clear" w:color="auto" w:fill="C7DAF1" w:themeFill="text2" w:themeFillTint="32"/>
            </w:pPr>
            <w:r>
              <w:rPr>
                <w:rFonts w:hint="eastAsia"/>
              </w:rPr>
              <w:t>特种设备：不适用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val="de-DE"/>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bookmarkStart w:id="35" w:name="OLE_LINK2"/>
            <w:r>
              <w:rPr>
                <w:rFonts w:hint="eastAsia"/>
                <w:lang w:val="de-DE"/>
              </w:rPr>
              <w:t>■</w:t>
            </w:r>
            <w:bookmarkEnd w:id="35"/>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：其他</w:t>
            </w:r>
            <w:r>
              <w:rPr>
                <w:rFonts w:hint="eastAsia"/>
                <w:lang w:eastAsia="zh-CN"/>
              </w:rPr>
              <w:t>：</w:t>
            </w:r>
            <w:r>
              <w:rPr>
                <w:rFonts w:hint="eastAsia"/>
              </w:rPr>
              <w:t>LoadRunner</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default" w:eastAsia="宋体"/>
                <w:lang w:val="en-US" w:eastAsia="zh-CN"/>
              </w:rPr>
            </w:pPr>
            <w:r>
              <w:rPr>
                <w:rFonts w:hint="eastAsia"/>
              </w:rPr>
              <w:t xml:space="preserve">内部知识: </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ascii="Wingdings" w:hAnsi="Wingdings"/>
                <w:lang w:val="en-US" w:eastAsia="zh-CN"/>
              </w:rPr>
              <w:t>其他：设计经验</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rFonts w:hint="default" w:eastAsia="宋体"/>
                <w:lang w:val="en-US"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其他</w:t>
            </w:r>
            <w:r>
              <w:rPr>
                <w:rFonts w:hint="eastAsia"/>
                <w:lang w:eastAsia="zh-CN"/>
              </w:rPr>
              <w:t>：</w:t>
            </w:r>
            <w:r>
              <w:rPr>
                <w:rFonts w:hint="eastAsia"/>
                <w:lang w:val="en-US" w:eastAsia="zh-CN"/>
              </w:rPr>
              <w:t>电话、邮件、微信等</w:t>
            </w:r>
          </w:p>
          <w:p>
            <w:pPr>
              <w:shd w:val="clear" w:color="auto" w:fill="C7DAF1" w:themeFill="text2" w:themeFillTint="32"/>
              <w:rPr>
                <w:rFonts w:hint="default" w:eastAsia="宋体"/>
                <w:lang w:val="en-US"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r>
              <w:rPr>
                <w:rFonts w:hint="eastAsia"/>
                <w:lang w:eastAsia="zh-CN"/>
              </w:rPr>
              <w:t>：</w:t>
            </w:r>
            <w:r>
              <w:rPr>
                <w:rFonts w:hint="eastAsia"/>
                <w:lang w:val="en-US" w:eastAsia="zh-CN"/>
              </w:rPr>
              <w:t>电话、邮件、微信等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val="en-US" w:eastAsia="zh-CN"/>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eastAsia="zh-CN"/>
              </w:rPr>
              <w:t>：</w:t>
            </w:r>
            <w:r>
              <w:rPr>
                <w:rFonts w:hint="eastAsia"/>
                <w:lang w:val="en-US" w:eastAsia="zh-CN"/>
              </w:rPr>
              <w:t>北京融昱在线信息核验项目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计算机应用软件开发</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软件测试过程</w:t>
                  </w:r>
                </w:p>
              </w:tc>
              <w:tc>
                <w:tcPr>
                  <w:tcW w:w="3265" w:type="dxa"/>
                </w:tcPr>
                <w:p>
                  <w:pPr>
                    <w:shd w:val="clear" w:color="auto" w:fill="C7DAF1" w:themeFill="text2" w:themeFillTint="32"/>
                    <w:jc w:val="left"/>
                  </w:pPr>
                  <w:r>
                    <w:rPr>
                      <w:rFonts w:hint="eastAsia"/>
                      <w:highlight w:val="none"/>
                      <w:lang w:val="en-US" w:eastAsia="zh-CN"/>
                    </w:rPr>
                    <w:t>人员能力、测试软件的运行环境、设备情况等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软件代码编写</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w:t>
            </w:r>
            <w:r>
              <w:rPr>
                <w:rFonts w:hint="eastAsia"/>
                <w:highlight w:val="none"/>
              </w:rPr>
              <w:t>式：</w:t>
            </w:r>
            <w:r>
              <w:rPr>
                <w:rFonts w:hint="eastAsia" w:ascii="Wingdings" w:hAnsi="Wingdings"/>
                <w:highlight w:val="none"/>
              </w:rPr>
              <w:t>¨</w:t>
            </w:r>
            <w:r>
              <w:rPr>
                <w:rFonts w:hint="eastAsia"/>
                <w:highlight w:val="none"/>
              </w:rPr>
              <w:t>标签</w:t>
            </w:r>
            <w:r>
              <w:rPr>
                <w:rFonts w:hint="eastAsia" w:ascii="Wingdings" w:hAnsi="Wingdings"/>
                <w:highlight w:val="none"/>
              </w:rPr>
              <w:t>¨</w:t>
            </w:r>
            <w:r>
              <w:rPr>
                <w:rFonts w:hint="eastAsia"/>
                <w:highlight w:val="none"/>
              </w:rPr>
              <w:t>人员编号</w:t>
            </w:r>
            <w:r>
              <w:rPr>
                <w:rFonts w:hint="eastAsia" w:ascii="Wingdings" w:hAnsi="Wingdings"/>
                <w:highlight w:val="none"/>
              </w:rPr>
              <w:t>¨</w:t>
            </w:r>
            <w:r>
              <w:rPr>
                <w:rFonts w:hint="eastAsia" w:ascii="Wingdings" w:hAnsi="Wingdings"/>
                <w:highlight w:val="none"/>
                <w:lang w:val="en-US" w:eastAsia="zh-CN"/>
              </w:rPr>
              <w:t>其他：软件版本号</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highlight w:val="none"/>
              </w:rPr>
              <w:t>过程检验</w:t>
            </w:r>
            <w:r>
              <w:rPr>
                <w:rFonts w:hint="eastAsia" w:ascii="Wingdings" w:hAnsi="Wingdings"/>
                <w:highlight w:val="none"/>
              </w:rPr>
              <w:t>¨</w:t>
            </w:r>
            <w:r>
              <w:rPr>
                <w:rFonts w:hint="eastAsia"/>
                <w:highlight w:val="none"/>
              </w:rPr>
              <w:t>最终检验</w:t>
            </w:r>
            <w:r>
              <w:rPr>
                <w:rFonts w:hint="eastAsia" w:ascii="Wingdings" w:hAnsi="Wingdings"/>
                <w:highlight w:val="none"/>
              </w:rPr>
              <w:t>¨</w:t>
            </w:r>
          </w:p>
          <w:p>
            <w:pPr>
              <w:shd w:val="clear" w:color="auto" w:fill="C7DAF1" w:themeFill="text2" w:themeFillTint="32"/>
            </w:pPr>
            <w:r>
              <w:rPr>
                <w:rFonts w:hint="eastAsia"/>
              </w:rPr>
              <w:t>《型式检验报告》，</w:t>
            </w:r>
            <w:r>
              <w:rPr>
                <w:rFonts w:hint="eastAsia"/>
                <w:lang w:val="en-US" w:eastAsia="zh-CN"/>
              </w:rPr>
              <w:t>无</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bookmarkStart w:id="36" w:name="_GoBack"/>
            <w:bookmarkEnd w:id="36"/>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xM2EyODI1OGRhNDQ2MzdkNzJkN2FkYTVlMjEzMWYifQ=="/>
  </w:docVars>
  <w:rsids>
    <w:rsidRoot w:val="00000000"/>
    <w:rsid w:val="007A1658"/>
    <w:rsid w:val="02EF781C"/>
    <w:rsid w:val="036F5758"/>
    <w:rsid w:val="039B4BEC"/>
    <w:rsid w:val="03A04CE5"/>
    <w:rsid w:val="06255BC2"/>
    <w:rsid w:val="0B2A653B"/>
    <w:rsid w:val="0C127625"/>
    <w:rsid w:val="102D3525"/>
    <w:rsid w:val="138B667E"/>
    <w:rsid w:val="16AE5760"/>
    <w:rsid w:val="16BE1EE9"/>
    <w:rsid w:val="1D725739"/>
    <w:rsid w:val="1E26079C"/>
    <w:rsid w:val="249F7694"/>
    <w:rsid w:val="2BA81C69"/>
    <w:rsid w:val="2E460DA0"/>
    <w:rsid w:val="2E521CC9"/>
    <w:rsid w:val="32420597"/>
    <w:rsid w:val="324B6E6D"/>
    <w:rsid w:val="358B1618"/>
    <w:rsid w:val="3A2151CF"/>
    <w:rsid w:val="3A501DEF"/>
    <w:rsid w:val="3C137C90"/>
    <w:rsid w:val="3CDD6D9B"/>
    <w:rsid w:val="3D5567B2"/>
    <w:rsid w:val="3F56754D"/>
    <w:rsid w:val="3FF15FFA"/>
    <w:rsid w:val="403C118C"/>
    <w:rsid w:val="41EC45B3"/>
    <w:rsid w:val="46A05F2A"/>
    <w:rsid w:val="489D4154"/>
    <w:rsid w:val="48BC5937"/>
    <w:rsid w:val="4AAC3789"/>
    <w:rsid w:val="4AB536AA"/>
    <w:rsid w:val="51DC0DF8"/>
    <w:rsid w:val="524662F7"/>
    <w:rsid w:val="56090E77"/>
    <w:rsid w:val="57AF67C2"/>
    <w:rsid w:val="5C18144B"/>
    <w:rsid w:val="5C92472C"/>
    <w:rsid w:val="5E341674"/>
    <w:rsid w:val="5F29288B"/>
    <w:rsid w:val="61952D71"/>
    <w:rsid w:val="626544F2"/>
    <w:rsid w:val="64004E56"/>
    <w:rsid w:val="64557769"/>
    <w:rsid w:val="6458326C"/>
    <w:rsid w:val="655B219C"/>
    <w:rsid w:val="65975F92"/>
    <w:rsid w:val="6B4D73C5"/>
    <w:rsid w:val="6D310AC4"/>
    <w:rsid w:val="6D8A305E"/>
    <w:rsid w:val="6E8E3022"/>
    <w:rsid w:val="6ECC2015"/>
    <w:rsid w:val="717959F6"/>
    <w:rsid w:val="71A14E1B"/>
    <w:rsid w:val="75AE2451"/>
    <w:rsid w:val="7ECA05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7683</Words>
  <Characters>8227</Characters>
  <Lines>150</Lines>
  <Paragraphs>42</Paragraphs>
  <TotalTime>13</TotalTime>
  <ScaleCrop>false</ScaleCrop>
  <LinksUpToDate>false</LinksUpToDate>
  <CharactersWithSpaces>8271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晨露</cp:lastModifiedBy>
  <cp:lastPrinted>2019-05-13T03:19:00Z</cp:lastPrinted>
  <dcterms:modified xsi:type="dcterms:W3CDTF">2022-09-27T07:15:11Z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