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犍为县华君水泥制品有限公司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犍为县罗城镇大山村三组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犍为县罗城镇大山村三组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徐华君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13608137528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305420915@qq.com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徐华君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0863-2021-Q-2022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□音频</w:t>
            </w:r>
            <w:r>
              <w:rPr>
                <w:rFonts w:hint="eastAsia" w:ascii="宋体" w:hAnsi="宋体" w:cs="宋体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水泥电杆及电杆拉线水泥埋件的生产所涉及的相关管理活动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16.02.01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</w:t>
            </w:r>
            <w:bookmarkStart w:id="33" w:name="审核日期"/>
            <w:r>
              <w:rPr>
                <w:rFonts w:hint="eastAsia"/>
                <w:b/>
                <w:sz w:val="20"/>
                <w:lang w:val="en-US" w:eastAsia="zh-CN"/>
              </w:rPr>
              <w:t>于</w:t>
            </w:r>
            <w:r>
              <w:rPr>
                <w:rFonts w:hint="eastAsia"/>
                <w:b/>
                <w:sz w:val="20"/>
              </w:rPr>
              <w:t>2022年09月19日 上午至2022年09月19日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4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67310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hint="default" w:eastAsia="宋体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15"/>
        <w:gridCol w:w="997"/>
        <w:gridCol w:w="5773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86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19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8：30-9：00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1" w:hRule="atLeast"/>
          <w:jc w:val="center"/>
        </w:trPr>
        <w:tc>
          <w:tcPr>
            <w:tcW w:w="864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9：00-10：30</w:t>
            </w:r>
          </w:p>
        </w:tc>
        <w:tc>
          <w:tcPr>
            <w:tcW w:w="9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新宋体"/>
                <w:sz w:val="24"/>
                <w:szCs w:val="24"/>
              </w:rPr>
            </w:pPr>
            <w:r>
              <w:rPr>
                <w:rFonts w:hint="eastAsia" w:ascii="宋体" w:hAnsi="宋体" w:cs="新宋体"/>
                <w:sz w:val="24"/>
                <w:szCs w:val="24"/>
              </w:rPr>
              <w:t>管理层</w:t>
            </w:r>
          </w:p>
        </w:tc>
        <w:tc>
          <w:tcPr>
            <w:tcW w:w="5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新宋体"/>
                <w:sz w:val="24"/>
                <w:szCs w:val="24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9.2内部审核；9.3管理评审；10.1改进 总则；10.3持续改进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新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范围的确认，资质的确认，法律法规执行情况，重大质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量事故，及顾客投诉和质量监督抽查情况，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认证证书及标识使用情况，上次不符合验证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杨珍全（微信）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864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10：30-11：00</w:t>
            </w:r>
          </w:p>
        </w:tc>
        <w:tc>
          <w:tcPr>
            <w:tcW w:w="9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宋体" w:hAnsi="宋体" w:eastAsia="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4"/>
                <w:szCs w:val="24"/>
                <w:lang w:val="en-US" w:eastAsia="zh-CN"/>
              </w:rPr>
              <w:t>办公室</w:t>
            </w:r>
            <w:bookmarkStart w:id="36" w:name="_GoBack"/>
            <w:bookmarkEnd w:id="36"/>
          </w:p>
        </w:tc>
        <w:tc>
          <w:tcPr>
            <w:tcW w:w="5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4"/>
                <w:szCs w:val="24"/>
              </w:rPr>
              <w:t>5.3岗位/职</w:t>
            </w:r>
            <w:r>
              <w:rPr>
                <w:rFonts w:hint="eastAsia" w:ascii="宋体" w:hAnsi="宋体" w:cs="新宋体"/>
                <w:sz w:val="24"/>
                <w:szCs w:val="24"/>
                <w:highlight w:val="none"/>
              </w:rPr>
              <w:t xml:space="preserve">责 /权限；6.2质量目标及其实现的策划；9.1.3分析和评价；10.2不合格和纠正措施 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杨珍全（微信）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864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11：00-15：30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（午休12：00-13：00）</w:t>
            </w:r>
          </w:p>
        </w:tc>
        <w:tc>
          <w:tcPr>
            <w:tcW w:w="9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4"/>
                <w:szCs w:val="24"/>
                <w:lang w:val="en-US" w:eastAsia="zh-CN"/>
              </w:rPr>
              <w:t>生产技术部</w:t>
            </w:r>
          </w:p>
        </w:tc>
        <w:tc>
          <w:tcPr>
            <w:tcW w:w="5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24"/>
                <w:szCs w:val="24"/>
              </w:rPr>
              <w:t>5.3岗位/职责 /权限；6.2质量目标及其实现的策划； 7.1.5监视和测量设备</w:t>
            </w:r>
            <w:r>
              <w:rPr>
                <w:rFonts w:hint="eastAsia" w:ascii="宋体" w:hAnsi="宋体" w:eastAsia="宋体" w:cs="新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24"/>
                <w:szCs w:val="24"/>
                <w:lang w:val="en-US" w:eastAsia="zh-CN"/>
              </w:rPr>
              <w:t>上次不符合项验证）</w:t>
            </w:r>
            <w:r>
              <w:rPr>
                <w:rFonts w:hint="eastAsia" w:ascii="宋体" w:hAnsi="宋体" w:eastAsia="宋体" w:cs="新宋体"/>
                <w:sz w:val="24"/>
                <w:szCs w:val="24"/>
              </w:rPr>
              <w:t>；</w:t>
            </w:r>
            <w:r>
              <w:rPr>
                <w:rFonts w:hint="eastAsia" w:ascii="宋体" w:hAnsi="宋体" w:cs="新宋体"/>
                <w:sz w:val="24"/>
                <w:szCs w:val="24"/>
              </w:rPr>
              <w:t>8.1运行策划和控制；8.3设计开发控制</w:t>
            </w:r>
            <w:r>
              <w:rPr>
                <w:rFonts w:hint="eastAsia" w:ascii="宋体" w:hAnsi="宋体" w:cs="新宋体"/>
                <w:sz w:val="24"/>
                <w:szCs w:val="24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sz w:val="24"/>
                <w:szCs w:val="24"/>
              </w:rPr>
              <w:t>； 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4"/>
                <w:szCs w:val="24"/>
              </w:rPr>
              <w:t>8.6产品和服务放行；8.7不合格输出的控制；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杨珍全（微信）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864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15：00-17：30</w:t>
            </w:r>
          </w:p>
        </w:tc>
        <w:tc>
          <w:tcPr>
            <w:tcW w:w="9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4"/>
                <w:szCs w:val="24"/>
                <w:lang w:val="en-US" w:eastAsia="zh-CN"/>
              </w:rPr>
              <w:t>市场部</w:t>
            </w:r>
          </w:p>
        </w:tc>
        <w:tc>
          <w:tcPr>
            <w:tcW w:w="5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24"/>
                <w:szCs w:val="24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24"/>
                <w:szCs w:val="24"/>
              </w:rPr>
              <w:t>8.2产品和服务的要求；8.4外部提供供方的控制；9.1.2顾客满意；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杨珍全（微信）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64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17：00-17：30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hint="eastAsia" w:ascii="宋体" w:hAnsi="宋体" w:cs="新宋体"/>
                <w:sz w:val="24"/>
                <w:szCs w:val="24"/>
              </w:rPr>
              <w:t>并与受审核方沟通</w:t>
            </w:r>
            <w:r>
              <w:rPr>
                <w:rFonts w:hint="eastAsia" w:ascii="宋体" w:hAnsi="宋体" w:cs="新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4"/>
                <w:szCs w:val="24"/>
              </w:rPr>
              <w:t>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杨珍全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940049A"/>
    <w:rsid w:val="29CA2459"/>
    <w:rsid w:val="3A31217A"/>
    <w:rsid w:val="543D26AB"/>
    <w:rsid w:val="5B6F3FE4"/>
    <w:rsid w:val="618F706F"/>
    <w:rsid w:val="63161C90"/>
    <w:rsid w:val="657845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1639</Words>
  <Characters>2245</Characters>
  <Lines>37</Lines>
  <Paragraphs>10</Paragraphs>
  <TotalTime>0</TotalTime>
  <ScaleCrop>false</ScaleCrop>
  <LinksUpToDate>false</LinksUpToDate>
  <CharactersWithSpaces>2307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2022-09-23T00:10:04Z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