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0992-2021-Q-2022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启源电气股份有限公司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Q:ISC-Q-2021-1724,O: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91130900347780085J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Q:15,O:15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2" w:name="组织名称Add1"/>
            <w:r>
              <w:rPr>
                <w:rFonts w:hint="eastAsia"/>
                <w:sz w:val="22"/>
                <w:szCs w:val="22"/>
              </w:rPr>
              <w:t>启源电气股份有限公司</w:t>
            </w:r>
            <w:bookmarkEnd w:id="12"/>
          </w:p>
        </w:tc>
        <w:tc>
          <w:tcPr>
            <w:tcW w:w="5013" w:type="dxa"/>
            <w:gridSpan w:val="4"/>
            <w:vMerge w:val="restart"/>
          </w:tcPr>
          <w:p>
            <w:pPr>
              <w:snapToGrid w:val="0"/>
              <w:spacing w:line="0" w:lineRule="atLeast"/>
              <w:jc w:val="left"/>
              <w:rPr>
                <w:sz w:val="22"/>
                <w:szCs w:val="22"/>
              </w:rPr>
            </w:pPr>
            <w:bookmarkStart w:id="13" w:name="审核范围"/>
            <w:r>
              <w:rPr>
                <w:sz w:val="22"/>
                <w:szCs w:val="22"/>
              </w:rPr>
              <w:t>Q：铁构件（横担、抱箍、拉线棒）、电线电缆（资质许可范围内）的生产</w:t>
            </w:r>
          </w:p>
          <w:p>
            <w:pPr>
              <w:snapToGrid w:val="0"/>
              <w:spacing w:line="0" w:lineRule="atLeast"/>
              <w:jc w:val="left"/>
              <w:rPr>
                <w:sz w:val="22"/>
                <w:szCs w:val="22"/>
              </w:rPr>
            </w:pPr>
            <w:r>
              <w:rPr>
                <w:sz w:val="22"/>
                <w:szCs w:val="22"/>
              </w:rPr>
              <w:t>O：铁构件（横担、抱箍、拉线棒）、电线电缆（资质许可范围内）的生产所涉及场所的相关职业健康安全管理活动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河北省任丘市麻家坞镇刘家泊村村西</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河北省任丘市麻家坞镇刘家泊村村西</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Qiyuan Electric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Production of iron components (cross arms, hoops, stay rods), wires and cables (within the scope of qualification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Qiyuan Electric Co., Ltd. West of Liujiabo Village, Majiawu Town, Renqiu City, Hebei Province</w:t>
            </w:r>
          </w:p>
        </w:tc>
        <w:tc>
          <w:tcPr>
            <w:tcW w:w="1337" w:type="dxa"/>
            <w:vMerge w:val="restart"/>
          </w:tcPr>
          <w:p>
            <w:pPr>
              <w:snapToGrid w:val="0"/>
              <w:spacing w:line="0" w:lineRule="atLeast"/>
              <w:jc w:val="left"/>
              <w:rPr>
                <w:sz w:val="22"/>
                <w:szCs w:val="22"/>
              </w:rPr>
            </w:pPr>
            <w:r>
              <w:rPr>
                <w:rFonts w:hint="eastAsia"/>
                <w:sz w:val="22"/>
                <w:szCs w:val="22"/>
              </w:rPr>
              <w:t>OHSMS</w:t>
            </w:r>
          </w:p>
        </w:tc>
        <w:tc>
          <w:tcPr>
            <w:tcW w:w="3676" w:type="dxa"/>
            <w:gridSpan w:val="3"/>
            <w:vMerge w:val="restart"/>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iron components (cross arms, hoops, pull rods), wires and cables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Qiyuan Electric Co., Ltd. West of Liujiabo Village, Majiawu Town, Renqiu City, Hebei Province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4242435</wp:posOffset>
                  </wp:positionH>
                  <wp:positionV relativeFrom="paragraph">
                    <wp:posOffset>136525</wp:posOffset>
                  </wp:positionV>
                  <wp:extent cx="1078865" cy="51943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5"/>
                          <a:stretch>
                            <a:fillRect/>
                          </a:stretch>
                        </pic:blipFill>
                        <pic:spPr>
                          <a:xfrm>
                            <a:off x="0" y="0"/>
                            <a:ext cx="1078865" cy="519430"/>
                          </a:xfrm>
                          <a:prstGeom prst="rect">
                            <a:avLst/>
                          </a:prstGeom>
                          <a:noFill/>
                          <a:ln>
                            <a:noFill/>
                          </a:ln>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签字盖章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3360"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2022.9.22</w:t>
            </w:r>
          </w:p>
        </w:tc>
        <w:tc>
          <w:tcPr>
            <w:tcW w:w="1680" w:type="dxa"/>
            <w:gridSpan w:val="3"/>
            <w:vAlign w:val="top"/>
          </w:tcPr>
          <w:p>
            <w:pPr>
              <w:snapToGrid w:val="0"/>
              <w:spacing w:line="0" w:lineRule="atLeast"/>
              <w:jc w:val="left"/>
              <w:rPr>
                <w:rFonts w:hint="eastAsia" w:ascii="Times New Roman" w:hAnsi="Times New Roman" w:eastAsia="宋体" w:cs="Arial"/>
                <w:b/>
                <w:bCs/>
                <w:kern w:val="2"/>
                <w:sz w:val="22"/>
                <w:szCs w:val="16"/>
                <w:lang w:val="en-US" w:eastAsia="zh-CN" w:bidi="ar-SA"/>
              </w:rPr>
            </w:pPr>
            <w:r>
              <w:rPr>
                <w:rFonts w:hint="eastAsia" w:cs="Arial"/>
                <w:b/>
                <w:bCs/>
                <w:sz w:val="22"/>
                <w:szCs w:val="16"/>
                <w:lang w:val="en-US" w:eastAsia="zh-CN"/>
              </w:rPr>
              <w:t>日期</w:t>
            </w:r>
          </w:p>
        </w:tc>
        <w:tc>
          <w:tcPr>
            <w:tcW w:w="3346" w:type="dxa"/>
            <w:gridSpan w:val="2"/>
            <w:vAlign w:val="top"/>
          </w:tcPr>
          <w:p>
            <w:pPr>
              <w:snapToGrid w:val="0"/>
              <w:spacing w:line="0" w:lineRule="atLeast"/>
              <w:jc w:val="left"/>
              <w:rPr>
                <w:rFonts w:hint="default" w:ascii="Times New Roman" w:hAnsi="Times New Roman" w:eastAsia="宋体" w:cs="Arial"/>
                <w:b/>
                <w:bCs/>
                <w:kern w:val="2"/>
                <w:sz w:val="22"/>
                <w:szCs w:val="16"/>
                <w:lang w:val="en-US" w:eastAsia="zh-CN" w:bidi="ar-SA"/>
              </w:rPr>
            </w:pPr>
            <w:r>
              <w:rPr>
                <w:rFonts w:hint="eastAsia" w:cs="Arial"/>
                <w:b/>
                <w:bCs/>
                <w:sz w:val="22"/>
                <w:szCs w:val="16"/>
                <w:lang w:val="en-US" w:eastAsia="zh-CN"/>
              </w:rPr>
              <w:t>2022.9.22</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182360" cy="8744585"/>
            <wp:effectExtent l="0" t="0" r="2540" b="5715"/>
            <wp:docPr id="2" name="图片 2" descr="88bf28db9737c64e7875a768de9f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bf28db9737c64e7875a768de9f6b7"/>
                    <pic:cNvPicPr>
                      <a:picLocks noChangeAspect="1"/>
                    </pic:cNvPicPr>
                  </pic:nvPicPr>
                  <pic:blipFill>
                    <a:blip r:embed="rId6"/>
                    <a:stretch>
                      <a:fillRect/>
                    </a:stretch>
                  </pic:blipFill>
                  <pic:spPr>
                    <a:xfrm>
                      <a:off x="0" y="0"/>
                      <a:ext cx="6182360" cy="8744585"/>
                    </a:xfrm>
                    <a:prstGeom prst="rect">
                      <a:avLst/>
                    </a:prstGeom>
                  </pic:spPr>
                </pic:pic>
              </a:graphicData>
            </a:graphic>
          </wp:inline>
        </w:drawing>
      </w:r>
      <w:bookmarkStart w:id="16" w:name="_GoBack"/>
      <w:bookmarkEnd w:id="16"/>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57482BF5"/>
    <w:rsid w:val="752D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0</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2022-09-27T08:44:39Z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