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0632-2022-QEO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浙江天丰生物科学有限公司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浙江天丰生物科学有限公司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浙江省金华市婺城区大岩路666号</w:t>
            </w:r>
            <w:bookmarkEnd w:id="6"/>
          </w:p>
        </w:tc>
        <w:tc>
          <w:tcPr>
            <w:tcW w:w="1242" w:type="dxa"/>
            <w:vMerge w:val="restart"/>
            <w:vAlign w:val="center"/>
          </w:tcPr>
          <w:p>
            <w:r>
              <w:rPr>
                <w:rFonts w:hint="eastAsia"/>
              </w:rPr>
              <w:t>邮编</w:t>
            </w:r>
          </w:p>
        </w:tc>
        <w:tc>
          <w:tcPr>
            <w:tcW w:w="1771" w:type="dxa"/>
          </w:tcPr>
          <w:p>
            <w:bookmarkStart w:id="7" w:name="注册邮编"/>
            <w:r>
              <w:t>321025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浙江省金华市婺城区大岩路666号</w:t>
            </w:r>
            <w:bookmarkEnd w:id="8"/>
          </w:p>
        </w:tc>
        <w:tc>
          <w:tcPr>
            <w:tcW w:w="1242" w:type="dxa"/>
            <w:vMerge w:val="continue"/>
            <w:vAlign w:val="center"/>
          </w:tcPr>
          <w:p/>
        </w:tc>
        <w:tc>
          <w:tcPr>
            <w:tcW w:w="1771" w:type="dxa"/>
          </w:tcPr>
          <w:p>
            <w:bookmarkStart w:id="9" w:name="办公邮编"/>
            <w:r>
              <w:t>321025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赵梅勤</w:t>
            </w:r>
            <w:bookmarkEnd w:id="10"/>
          </w:p>
        </w:tc>
        <w:tc>
          <w:tcPr>
            <w:tcW w:w="1313" w:type="dxa"/>
            <w:vAlign w:val="center"/>
          </w:tcPr>
          <w:p>
            <w:r>
              <w:rPr>
                <w:rFonts w:hint="eastAsia"/>
              </w:rPr>
              <w:t>电话.</w:t>
            </w:r>
          </w:p>
        </w:tc>
        <w:tc>
          <w:tcPr>
            <w:tcW w:w="2180" w:type="dxa"/>
            <w:vAlign w:val="center"/>
          </w:tcPr>
          <w:p>
            <w:bookmarkStart w:id="11" w:name="联系人电话"/>
            <w:r>
              <w:t>0579-82235923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陈丰喜</w:t>
            </w:r>
            <w:bookmarkEnd w:id="13"/>
          </w:p>
        </w:tc>
        <w:tc>
          <w:tcPr>
            <w:tcW w:w="1313" w:type="dxa"/>
            <w:vAlign w:val="center"/>
          </w:tcPr>
          <w:p>
            <w:r>
              <w:rPr>
                <w:rFonts w:hint="eastAsia"/>
              </w:rPr>
              <w:t>管理者代表</w:t>
            </w:r>
          </w:p>
        </w:tc>
        <w:tc>
          <w:tcPr>
            <w:tcW w:w="2180" w:type="dxa"/>
          </w:tcPr>
          <w:p>
            <w:bookmarkStart w:id="14" w:name="管理者代表"/>
            <w:r>
              <w:t>王国华</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18"/>
                <w:szCs w:val="18"/>
              </w:rPr>
            </w:pPr>
            <w:r>
              <w:rPr>
                <w:color w:val="auto"/>
                <w:sz w:val="18"/>
                <w:szCs w:val="18"/>
              </w:rPr>
              <w:drawing>
                <wp:inline distT="0" distB="0" distL="114300" distR="114300">
                  <wp:extent cx="3823335" cy="796925"/>
                  <wp:effectExtent l="0" t="0" r="1905" b="10795"/>
                  <wp:docPr id="1" name="图片 2" descr="可湿性粉剂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可湿性粉剂工艺流程图"/>
                          <pic:cNvPicPr>
                            <a:picLocks noChangeAspect="1"/>
                          </pic:cNvPicPr>
                        </pic:nvPicPr>
                        <pic:blipFill>
                          <a:blip r:embed="rId6"/>
                          <a:stretch>
                            <a:fillRect/>
                          </a:stretch>
                        </pic:blipFill>
                        <pic:spPr>
                          <a:xfrm>
                            <a:off x="0" y="0"/>
                            <a:ext cx="3823335" cy="796925"/>
                          </a:xfrm>
                          <a:prstGeom prst="rect">
                            <a:avLst/>
                          </a:prstGeom>
                          <a:noFill/>
                          <a:ln>
                            <a:noFill/>
                          </a:ln>
                        </pic:spPr>
                      </pic:pic>
                    </a:graphicData>
                  </a:graphic>
                </wp:inline>
              </w:drawing>
            </w:r>
            <w:r>
              <w:rPr>
                <w:rFonts w:hint="eastAsia"/>
                <w:color w:val="auto"/>
                <w:sz w:val="18"/>
                <w:szCs w:val="18"/>
              </w:rPr>
              <w:t>可湿性粉剂生产工艺流程图</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18"/>
                <w:szCs w:val="18"/>
              </w:rPr>
            </w:pPr>
            <w:r>
              <w:rPr>
                <w:rFonts w:hint="eastAsia" w:eastAsia="楷体_GB2312"/>
                <w:color w:val="auto"/>
                <w:sz w:val="18"/>
                <w:szCs w:val="18"/>
                <w:lang w:val="en-US" w:eastAsia="zh-CN"/>
              </w:rPr>
              <w:drawing>
                <wp:inline distT="0" distB="0" distL="114300" distR="114300">
                  <wp:extent cx="3501390" cy="829310"/>
                  <wp:effectExtent l="0" t="0" r="3810" b="8890"/>
                  <wp:docPr id="3" name="图片 3" descr="水剂工艺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水剂工艺流程图"/>
                          <pic:cNvPicPr>
                            <a:picLocks noChangeAspect="1"/>
                          </pic:cNvPicPr>
                        </pic:nvPicPr>
                        <pic:blipFill>
                          <a:blip r:embed="rId7"/>
                          <a:stretch>
                            <a:fillRect/>
                          </a:stretch>
                        </pic:blipFill>
                        <pic:spPr>
                          <a:xfrm>
                            <a:off x="0" y="0"/>
                            <a:ext cx="3501390" cy="829310"/>
                          </a:xfrm>
                          <a:prstGeom prst="rect">
                            <a:avLst/>
                          </a:prstGeom>
                          <a:noFill/>
                          <a:ln>
                            <a:noFill/>
                          </a:ln>
                        </pic:spPr>
                      </pic:pic>
                    </a:graphicData>
                  </a:graphic>
                </wp:inline>
              </w:drawing>
            </w:r>
            <w:r>
              <w:rPr>
                <w:color w:val="auto"/>
                <w:sz w:val="18"/>
                <w:szCs w:val="18"/>
              </w:rPr>
              <w:t>水分散粒剂生产工艺流程图</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sz w:val="18"/>
                <w:szCs w:val="18"/>
              </w:rPr>
            </w:pPr>
            <w:r>
              <w:rPr>
                <w:rFonts w:hint="eastAsia" w:eastAsia="楷体_GB2312"/>
                <w:color w:val="auto"/>
                <w:sz w:val="18"/>
                <w:szCs w:val="18"/>
                <w:lang w:eastAsia="zh-CN"/>
              </w:rPr>
              <w:drawing>
                <wp:inline distT="0" distB="0" distL="114300" distR="114300">
                  <wp:extent cx="3613785" cy="1010920"/>
                  <wp:effectExtent l="0" t="0" r="13335" b="10160"/>
                  <wp:docPr id="2" name="图片 2" descr="工艺流程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艺流程图3"/>
                          <pic:cNvPicPr>
                            <a:picLocks noChangeAspect="1"/>
                          </pic:cNvPicPr>
                        </pic:nvPicPr>
                        <pic:blipFill>
                          <a:blip r:embed="rId8"/>
                          <a:stretch>
                            <a:fillRect/>
                          </a:stretch>
                        </pic:blipFill>
                        <pic:spPr>
                          <a:xfrm>
                            <a:off x="0" y="0"/>
                            <a:ext cx="3613785" cy="1010920"/>
                          </a:xfrm>
                          <a:prstGeom prst="rect">
                            <a:avLst/>
                          </a:prstGeom>
                          <a:noFill/>
                          <a:ln>
                            <a:noFill/>
                          </a:ln>
                        </pic:spPr>
                      </pic:pic>
                    </a:graphicData>
                  </a:graphic>
                </wp:inline>
              </w:drawing>
            </w:r>
            <w:r>
              <w:rPr>
                <w:color w:val="auto"/>
                <w:sz w:val="18"/>
                <w:szCs w:val="18"/>
              </w:rPr>
              <w:drawing>
                <wp:inline distT="0" distB="0" distL="114300" distR="114300">
                  <wp:extent cx="2781300" cy="1009015"/>
                  <wp:effectExtent l="0" t="0" r="7620" b="12065"/>
                  <wp:docPr id="6" name="图片 6" descr="工艺流程图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工艺流程图4"/>
                          <pic:cNvPicPr>
                            <a:picLocks noChangeAspect="1"/>
                          </pic:cNvPicPr>
                        </pic:nvPicPr>
                        <pic:blipFill>
                          <a:blip r:embed="rId9"/>
                          <a:stretch>
                            <a:fillRect/>
                          </a:stretch>
                        </pic:blipFill>
                        <pic:spPr>
                          <a:xfrm>
                            <a:off x="0" y="0"/>
                            <a:ext cx="2781300" cy="100901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18"/>
                <w:szCs w:val="18"/>
                <w:lang w:val="en-US" w:eastAsia="zh-CN"/>
              </w:rPr>
            </w:pPr>
            <w:r>
              <w:rPr>
                <w:color w:val="auto"/>
                <w:sz w:val="18"/>
                <w:szCs w:val="18"/>
              </w:rPr>
              <w:drawing>
                <wp:inline distT="0" distB="0" distL="114300" distR="114300">
                  <wp:extent cx="2850515" cy="1150620"/>
                  <wp:effectExtent l="0" t="0" r="14605" b="7620"/>
                  <wp:docPr id="7" name="图片 7" descr="工艺流程图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工艺流程图6"/>
                          <pic:cNvPicPr>
                            <a:picLocks noChangeAspect="1"/>
                          </pic:cNvPicPr>
                        </pic:nvPicPr>
                        <pic:blipFill>
                          <a:blip r:embed="rId10"/>
                          <a:stretch>
                            <a:fillRect/>
                          </a:stretch>
                        </pic:blipFill>
                        <pic:spPr>
                          <a:xfrm>
                            <a:off x="0" y="0"/>
                            <a:ext cx="2850515" cy="1150620"/>
                          </a:xfrm>
                          <a:prstGeom prst="rect">
                            <a:avLst/>
                          </a:prstGeom>
                          <a:noFill/>
                          <a:ln>
                            <a:noFill/>
                          </a:ln>
                        </pic:spPr>
                      </pic:pic>
                    </a:graphicData>
                  </a:graphic>
                </wp:inline>
              </w:drawing>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2022年09月22日 上午至2022年09月25日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Q：植保、卫生环保制剂的设计及生产</w:t>
            </w:r>
          </w:p>
          <w:p>
            <w:r>
              <w:t>E：植保、卫生环保制剂的设计及生产所涉及场所的相关环境管理活动</w:t>
            </w:r>
          </w:p>
          <w:p>
            <w:r>
              <w:t>O：植保、卫生环保制剂的设计及生产所涉及场所的相关职业健康安全管理活动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Q：12.02.00</w:t>
            </w:r>
          </w:p>
          <w:p>
            <w:r>
              <w:t>E：12.02.00</w:t>
            </w:r>
          </w:p>
          <w:p>
            <w:r>
              <w:t>O：12.02.00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2022年5月10日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浙江天丰生物科学有限公司</w:t>
            </w:r>
            <w:r>
              <w:rPr>
                <w:rFonts w:hint="eastAsia"/>
                <w:sz w:val="21"/>
                <w:szCs w:val="21"/>
                <w:lang w:val="en-US" w:eastAsia="zh-CN"/>
              </w:rPr>
              <w:t>/</w:t>
            </w:r>
            <w:r>
              <w:rPr>
                <w:sz w:val="21"/>
                <w:szCs w:val="21"/>
              </w:rPr>
              <w:t>浙江省金华市婺城区大岩路666号</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浙江省金华市婺城区大岩路666号</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136</w:t>
            </w:r>
          </w:p>
        </w:tc>
        <w:tc>
          <w:tcPr>
            <w:tcW w:w="2803" w:type="dxa"/>
            <w:vAlign w:val="center"/>
          </w:tcPr>
          <w:p>
            <w:r>
              <w:t>Q：植保、卫生环保制剂的设计及生产</w:t>
            </w:r>
          </w:p>
          <w:p>
            <w:r>
              <w:t>E：植保、卫生环保制剂的设计及生产所涉及场所的相关环境管理活动</w:t>
            </w:r>
          </w:p>
          <w:p>
            <w:pPr>
              <w:pStyle w:val="23"/>
              <w:rPr>
                <w:rFonts w:ascii="Times New Roman" w:hAnsi="Times New Roman" w:eastAsia="黑体" w:cs="Arial"/>
                <w:kern w:val="2"/>
                <w:sz w:val="21"/>
                <w:szCs w:val="21"/>
                <w:lang w:val="en-US" w:eastAsia="ja-JP" w:bidi="ar-SA"/>
              </w:rPr>
            </w:pPr>
            <w:r>
              <w:t>O：植保、卫生环保制剂的设计及生产所涉及场所的相关职业健康安全管理活动</w:t>
            </w:r>
          </w:p>
        </w:tc>
        <w:tc>
          <w:tcPr>
            <w:tcW w:w="669" w:type="dxa"/>
            <w:vAlign w:val="center"/>
          </w:tcPr>
          <w:p>
            <w:pPr>
              <w:rPr>
                <w:rFonts w:ascii="宋体" w:hAnsi="宋体"/>
                <w:b/>
                <w:sz w:val="21"/>
                <w:szCs w:val="21"/>
              </w:rPr>
            </w:pPr>
            <w:r>
              <w:rPr>
                <w:rFonts w:hint="eastAsia" w:ascii="宋体" w:hAnsi="宋体"/>
                <w:b/>
                <w:sz w:val="21"/>
                <w:szCs w:val="21"/>
              </w:rPr>
              <w:t>GB/T19001-2016/ISO 9001:2015 GB/T24001-2016/ISO 14001:2015 GB/T 45001-2020/ISO45001：2018</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p>
            <w:r>
              <w:t>2021-N1OHSMS-1262293</w:t>
            </w:r>
          </w:p>
        </w:tc>
        <w:tc>
          <w:tcPr>
            <w:tcW w:w="2179" w:type="dxa"/>
            <w:vAlign w:val="center"/>
          </w:tcPr>
          <w:p>
            <w:r>
              <w:t>Q:12.02.00</w:t>
            </w:r>
          </w:p>
          <w:p>
            <w:r>
              <w:t>E:12.02.00</w:t>
            </w:r>
          </w:p>
          <w:p>
            <w:r>
              <w:t>O:12.02.00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林兵</w:t>
            </w:r>
          </w:p>
        </w:tc>
        <w:tc>
          <w:tcPr>
            <w:tcW w:w="1089" w:type="dxa"/>
            <w:vAlign w:val="center"/>
          </w:tcPr>
          <w:p>
            <w:r>
              <w:t>组员</w:t>
            </w:r>
          </w:p>
        </w:tc>
        <w:tc>
          <w:tcPr>
            <w:tcW w:w="711" w:type="dxa"/>
            <w:vAlign w:val="center"/>
          </w:tcPr>
          <w:p>
            <w:r>
              <w:t>男</w:t>
            </w:r>
          </w:p>
        </w:tc>
        <w:tc>
          <w:tcPr>
            <w:tcW w:w="3870" w:type="dxa"/>
            <w:vAlign w:val="center"/>
          </w:tcPr>
          <w:p>
            <w:r>
              <w:t>2021-N1QMS-5059501</w:t>
            </w:r>
          </w:p>
          <w:p>
            <w:r>
              <w:t>2020-N1EMS-3059501</w:t>
            </w:r>
          </w:p>
          <w:p>
            <w:r>
              <w:t>2022-N1OHSMS-3059501</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王献华</w:t>
            </w:r>
          </w:p>
        </w:tc>
        <w:tc>
          <w:tcPr>
            <w:tcW w:w="1089" w:type="dxa"/>
            <w:vAlign w:val="center"/>
          </w:tcPr>
          <w:p>
            <w:r>
              <w:t>组员</w:t>
            </w:r>
          </w:p>
        </w:tc>
        <w:tc>
          <w:tcPr>
            <w:tcW w:w="711" w:type="dxa"/>
            <w:vAlign w:val="center"/>
          </w:tcPr>
          <w:p>
            <w:r>
              <w:t>男</w:t>
            </w:r>
          </w:p>
        </w:tc>
        <w:tc>
          <w:tcPr>
            <w:tcW w:w="3870" w:type="dxa"/>
            <w:vAlign w:val="center"/>
          </w:tcPr>
          <w:p>
            <w:r>
              <w:t>2021-N1QMS-1244982</w:t>
            </w:r>
          </w:p>
          <w:p>
            <w:r>
              <w:t>2021-N1EMS-1244982</w:t>
            </w:r>
          </w:p>
          <w:p>
            <w:r>
              <w:t>2021-N1OHSMS-1244982</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rFonts w:hint="eastAsia" w:ascii="宋体" w:hAnsi="宋体" w:eastAsia="宋体" w:cs="宋体"/>
                <w:sz w:val="21"/>
                <w:szCs w:val="21"/>
                <w:lang w:val="en-US" w:eastAsia="zh-CN"/>
              </w:rPr>
              <w:t>植保、卫生环保制剂的设计、</w:t>
            </w:r>
            <w:r>
              <w:rPr>
                <w:rFonts w:hint="eastAsia" w:ascii="宋体" w:hAnsi="宋体" w:eastAsia="宋体" w:cs="宋体"/>
                <w:sz w:val="21"/>
                <w:szCs w:val="21"/>
              </w:rPr>
              <w:t>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ascii="宋体" w:hAnsi="宋体" w:eastAsia="宋体" w:cs="宋体"/>
                <w:sz w:val="21"/>
                <w:szCs w:val="21"/>
                <w:lang w:val="en-US" w:eastAsia="zh-CN"/>
              </w:rPr>
              <w:t>植保、卫生环保制剂的设计、</w:t>
            </w:r>
            <w:r>
              <w:rPr>
                <w:rFonts w:hint="eastAsia" w:ascii="宋体" w:hAnsi="宋体" w:eastAsia="宋体" w:cs="宋体"/>
                <w:sz w:val="21"/>
                <w:szCs w:val="21"/>
              </w:rPr>
              <w:t>生产所涉及场所的相关环境管理活动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ascii="宋体" w:hAnsi="宋体" w:eastAsia="宋体" w:cs="宋体"/>
                <w:sz w:val="21"/>
                <w:szCs w:val="21"/>
                <w:lang w:val="en-US" w:eastAsia="zh-CN"/>
              </w:rPr>
              <w:t>植保、卫生环保制剂的设计、</w:t>
            </w:r>
            <w:r>
              <w:rPr>
                <w:rFonts w:hint="eastAsia" w:ascii="宋体" w:hAnsi="宋体" w:eastAsia="宋体" w:cs="宋体"/>
                <w:sz w:val="21"/>
                <w:szCs w:val="21"/>
              </w:rPr>
              <w:t>生产所涉及场所的相关职业健康安全管理活动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280670</wp:posOffset>
                  </wp:positionH>
                  <wp:positionV relativeFrom="paragraph">
                    <wp:posOffset>41275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1"/>
                          <a:stretch>
                            <a:fillRect/>
                          </a:stretch>
                        </pic:blipFill>
                        <pic:spPr>
                          <a:xfrm>
                            <a:off x="0" y="0"/>
                            <a:ext cx="544830" cy="24892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2022年9月26日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sym w:font="Wingdings 2" w:char="0052"/>
            </w:r>
            <w:r>
              <w:rPr>
                <w:rFonts w:hint="eastAsia"/>
              </w:rPr>
              <w:t>新产品设计开发</w:t>
            </w:r>
            <w:r>
              <w:rPr>
                <w:rFonts w:hint="eastAsia"/>
              </w:rPr>
              <w:sym w:font="Wingdings 2" w:char="0052"/>
            </w:r>
            <w:r>
              <w:rPr>
                <w:rFonts w:hint="eastAsia"/>
              </w:rPr>
              <w:t>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精心制作、提升品质、立足市场、顾客满意；</w:t>
            </w:r>
          </w:p>
          <w:p>
            <w:pPr>
              <w:widowControl/>
              <w:spacing w:before="40"/>
              <w:jc w:val="left"/>
              <w:rPr>
                <w:rFonts w:hint="eastAsia"/>
                <w:color w:val="000000"/>
                <w:szCs w:val="18"/>
              </w:rPr>
            </w:pPr>
            <w:r>
              <w:rPr>
                <w:rFonts w:hint="eastAsia"/>
                <w:color w:val="000000"/>
                <w:szCs w:val="18"/>
              </w:rPr>
              <w:t>规范操作，减少环境污染</w:t>
            </w:r>
          </w:p>
          <w:p>
            <w:pPr>
              <w:widowControl/>
              <w:spacing w:before="40"/>
              <w:jc w:val="left"/>
              <w:rPr>
                <w:rFonts w:hint="eastAsia"/>
                <w:color w:val="000000"/>
                <w:szCs w:val="18"/>
              </w:rPr>
            </w:pPr>
            <w:r>
              <w:rPr>
                <w:rFonts w:hint="eastAsia"/>
                <w:color w:val="000000"/>
                <w:szCs w:val="18"/>
              </w:rPr>
              <w:t>关爱生命，预防安全事故</w:t>
            </w:r>
          </w:p>
          <w:p>
            <w:pPr>
              <w:shd w:val="clear" w:color="auto" w:fill="C7DAF1" w:themeFill="text2" w:themeFillTint="32"/>
              <w:rPr>
                <w:u w:val="single"/>
              </w:rPr>
            </w:pPr>
            <w:r>
              <w:rPr>
                <w:rFonts w:hint="eastAsia"/>
                <w:color w:val="000000"/>
                <w:szCs w:val="18"/>
              </w:rPr>
              <w:t>遵纪守法，追求不断改进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质量部、生产部、研发部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rPr>
                    <w:t>及时关注公司产品市场的情况，收集信息及时调整，保持公司产品的竞争力</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黑体" w:hAnsi="Times New Roman" w:eastAsia="黑体" w:cs="Times New Roman"/>
                      <w:bCs/>
                      <w:kern w:val="2"/>
                      <w:sz w:val="21"/>
                      <w:szCs w:val="21"/>
                      <w:lang w:val="en-US" w:eastAsia="zh-CN" w:bidi="ar-SA"/>
                    </w:rPr>
                  </w:pPr>
                  <w:r>
                    <w:rPr>
                      <w:rFonts w:hint="eastAsia" w:ascii="黑体" w:hAnsi="黑体" w:eastAsia="黑体" w:cs="黑体"/>
                      <w:szCs w:val="21"/>
                    </w:rPr>
                    <w:t>成品一次性交验合格率≥9</w:t>
                  </w:r>
                  <w:r>
                    <w:rPr>
                      <w:rFonts w:hint="eastAsia" w:ascii="黑体" w:hAnsi="黑体" w:eastAsia="黑体" w:cs="黑体"/>
                      <w:szCs w:val="21"/>
                      <w:lang w:val="en-US" w:eastAsia="zh-CN"/>
                    </w:rPr>
                    <w:t>8</w:t>
                  </w:r>
                  <w:r>
                    <w:rPr>
                      <w:rFonts w:hint="eastAsia" w:ascii="黑体" w:hAnsi="黑体" w:eastAsia="黑体" w:cs="黑体"/>
                      <w:szCs w:val="21"/>
                    </w:rPr>
                    <w:t>%</w:t>
                  </w:r>
                </w:p>
              </w:tc>
              <w:tc>
                <w:tcPr>
                  <w:tcW w:w="3136" w:type="dxa"/>
                  <w:shd w:val="clear" w:color="auto" w:fill="auto"/>
                  <w:vAlign w:val="center"/>
                </w:tcPr>
                <w:p>
                  <w:pPr>
                    <w:rPr>
                      <w:rFonts w:hint="eastAsia" w:ascii="黑体" w:hAnsi="黑体" w:eastAsia="黑体" w:cs="黑体"/>
                      <w:kern w:val="2"/>
                      <w:sz w:val="24"/>
                      <w:szCs w:val="24"/>
                      <w:lang w:val="en-GB" w:eastAsia="zh-CN" w:bidi="ar-SA"/>
                    </w:rPr>
                  </w:pPr>
                  <w:r>
                    <w:rPr>
                      <w:rFonts w:hint="eastAsia" w:ascii="黑体" w:hAnsi="黑体" w:eastAsia="黑体" w:cs="黑体"/>
                      <w:color w:val="000000"/>
                      <w:sz w:val="24"/>
                      <w:szCs w:val="24"/>
                    </w:rPr>
                    <w:t>合格率＝交验合格数÷交验总数×100%</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质量部</w:t>
                  </w:r>
                </w:p>
              </w:tc>
              <w:tc>
                <w:tcPr>
                  <w:tcW w:w="1774" w:type="dxa"/>
                  <w:shd w:val="clear" w:color="auto" w:fill="auto"/>
                  <w:vAlign w:val="center"/>
                </w:tcPr>
                <w:p>
                  <w:pPr>
                    <w:jc w:val="center"/>
                    <w:rPr>
                      <w:rFonts w:hint="eastAsia" w:ascii="黑体" w:hAnsi="黑体" w:eastAsia="黑体" w:cs="黑体"/>
                      <w:kern w:val="2"/>
                      <w:sz w:val="24"/>
                      <w:szCs w:val="24"/>
                      <w:lang w:val="en-GB" w:eastAsia="zh-CN" w:bidi="ar-SA"/>
                    </w:rPr>
                  </w:pPr>
                  <w:r>
                    <w:rPr>
                      <w:rFonts w:hint="eastAsia" w:ascii="黑体" w:hAnsi="黑体" w:eastAsia="黑体" w:cs="黑体"/>
                      <w:sz w:val="24"/>
                      <w:szCs w:val="24"/>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pacing w:line="440" w:lineRule="exact"/>
                    <w:rPr>
                      <w:rFonts w:hint="eastAsia" w:ascii="黑体" w:hAnsi="黑体" w:eastAsia="黑体" w:cs="黑体"/>
                      <w:kern w:val="2"/>
                      <w:sz w:val="21"/>
                      <w:szCs w:val="21"/>
                      <w:lang w:val="en-US" w:eastAsia="zh-CN" w:bidi="ar-SA"/>
                    </w:rPr>
                  </w:pPr>
                  <w:r>
                    <w:rPr>
                      <w:rFonts w:hint="eastAsia" w:ascii="黑体" w:hAnsi="黑体" w:eastAsia="黑体" w:cs="黑体"/>
                      <w:szCs w:val="21"/>
                    </w:rPr>
                    <w:t>顾客满意度≥95%</w:t>
                  </w:r>
                </w:p>
              </w:tc>
              <w:tc>
                <w:tcPr>
                  <w:tcW w:w="3136" w:type="dxa"/>
                  <w:shd w:val="clear" w:color="auto" w:fill="auto"/>
                  <w:vAlign w:val="center"/>
                </w:tcPr>
                <w:p>
                  <w:pPr>
                    <w:pStyle w:val="5"/>
                    <w:spacing w:before="60" w:beforeLines="15" w:after="60" w:afterLines="15" w:line="320" w:lineRule="exact"/>
                    <w:ind w:left="0" w:leftChars="0"/>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满意率＝顾客满意分数总数÷总分数×100%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市场部</w:t>
                  </w:r>
                </w:p>
              </w:tc>
              <w:tc>
                <w:tcPr>
                  <w:tcW w:w="1774" w:type="dxa"/>
                  <w:shd w:val="clear" w:color="auto" w:fill="auto"/>
                  <w:vAlign w:val="center"/>
                </w:tcPr>
                <w:p>
                  <w:pPr>
                    <w:pStyle w:val="5"/>
                    <w:spacing w:before="60" w:beforeLines="15" w:after="60" w:afterLines="15" w:line="320" w:lineRule="exact"/>
                    <w:ind w:left="0" w:leftChars="0"/>
                    <w:jc w:val="center"/>
                    <w:rPr>
                      <w:rFonts w:hint="eastAsia" w:ascii="黑体" w:hAnsi="黑体" w:eastAsia="黑体" w:cs="黑体"/>
                      <w:color w:val="000000"/>
                      <w:kern w:val="2"/>
                      <w:sz w:val="24"/>
                      <w:szCs w:val="24"/>
                      <w:lang w:val="en-US" w:eastAsia="zh-CN" w:bidi="ar-SA"/>
                    </w:rPr>
                  </w:pPr>
                  <w:r>
                    <w:rPr>
                      <w:rFonts w:hint="eastAsia" w:ascii="黑体" w:hAnsi="黑体" w:eastAsia="黑体" w:cs="黑体"/>
                      <w:color w:val="000000"/>
                      <w:sz w:val="24"/>
                      <w:szCs w:val="24"/>
                    </w:rPr>
                    <w:t>9</w:t>
                  </w:r>
                  <w:r>
                    <w:rPr>
                      <w:rFonts w:ascii="黑体" w:hAnsi="黑体" w:eastAsia="黑体" w:cs="黑体"/>
                      <w:color w:val="000000"/>
                      <w:sz w:val="24"/>
                      <w:szCs w:val="24"/>
                    </w:rPr>
                    <w:t>6</w:t>
                  </w:r>
                  <w:r>
                    <w:rPr>
                      <w:rFonts w:hint="eastAsia" w:ascii="黑体" w:hAnsi="黑体" w:eastAsia="黑体" w:cs="黑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440" w:lineRule="exact"/>
                    <w:rPr>
                      <w:rFonts w:hint="eastAsia" w:ascii="黑体" w:hAnsi="黑体" w:eastAsia="黑体" w:cs="黑体"/>
                      <w:kern w:val="2"/>
                      <w:sz w:val="21"/>
                      <w:szCs w:val="21"/>
                      <w:lang w:val="en-US" w:eastAsia="zh-CN" w:bidi="ar-SA"/>
                    </w:rPr>
                  </w:pPr>
                  <w:r>
                    <w:rPr>
                      <w:rFonts w:hint="eastAsia" w:ascii="黑体" w:hAnsi="黑体" w:eastAsia="黑体" w:cs="黑体"/>
                      <w:szCs w:val="21"/>
                    </w:rPr>
                    <w:t>计划生产完成率100%</w:t>
                  </w:r>
                </w:p>
              </w:tc>
              <w:tc>
                <w:tcPr>
                  <w:tcW w:w="3136" w:type="dxa"/>
                  <w:shd w:val="clear" w:color="auto" w:fill="auto"/>
                  <w:vAlign w:val="center"/>
                </w:tcPr>
                <w:p>
                  <w:pPr>
                    <w:rPr>
                      <w:rFonts w:hint="eastAsia" w:ascii="黑体" w:hAnsi="黑体" w:eastAsia="黑体" w:cs="黑体"/>
                      <w:kern w:val="2"/>
                      <w:sz w:val="24"/>
                      <w:szCs w:val="24"/>
                      <w:lang w:val="en-US" w:eastAsia="zh-CN" w:bidi="ar-SA"/>
                    </w:rPr>
                  </w:pPr>
                  <w:r>
                    <w:rPr>
                      <w:rFonts w:hint="eastAsia" w:ascii="黑体" w:hAnsi="黑体" w:eastAsia="黑体" w:cs="黑体"/>
                      <w:sz w:val="24"/>
                      <w:szCs w:val="24"/>
                    </w:rPr>
                    <w:t>完成率=生产完成数/总计划数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jc w:val="center"/>
                    <w:rPr>
                      <w:rFonts w:hint="eastAsia" w:ascii="黑体" w:hAnsi="黑体" w:eastAsia="黑体" w:cs="黑体"/>
                      <w:kern w:val="2"/>
                      <w:sz w:val="24"/>
                      <w:szCs w:val="24"/>
                      <w:lang w:val="en-US" w:eastAsia="zh-CN" w:bidi="ar-SA"/>
                    </w:rPr>
                  </w:pPr>
                  <w:r>
                    <w:rPr>
                      <w:rFonts w:hint="eastAsia" w:ascii="黑体" w:hAnsi="黑体" w:eastAsia="黑体" w:cs="黑体"/>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60000</w:t>
            </w:r>
            <w:r>
              <w:rPr>
                <w:rFonts w:hint="eastAsia"/>
              </w:rPr>
              <w:t>平方米；生产车间</w:t>
            </w:r>
            <w:r>
              <w:rPr>
                <w:rFonts w:hint="eastAsia"/>
                <w:lang w:val="en-US" w:eastAsia="zh-CN"/>
              </w:rPr>
              <w:t>10</w:t>
            </w:r>
            <w:r>
              <w:rPr>
                <w:rFonts w:hint="eastAsia"/>
              </w:rPr>
              <w:t>个；库房个；实验室</w:t>
            </w:r>
            <w:r>
              <w:rPr>
                <w:rFonts w:hint="eastAsia"/>
                <w:lang w:val="en-US" w:eastAsia="zh-CN"/>
              </w:rPr>
              <w:t>2</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sz w:val="21"/>
                <w:szCs w:val="21"/>
                <w:lang w:val="en-US" w:eastAsia="zh-CN"/>
              </w:rPr>
              <w:t>空压机、液体灌装生产线、水平包装机、粉碎设备、造粒机，自动包装机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电子天平、色谱仪、PH计</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sym w:font="Wingdings 2" w:char="0052"/>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sym w:font="Wingdings 2" w:char="00A3"/>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宋体" w:hAnsi="宋体" w:eastAsia="宋体" w:cs="宋体"/>
                <w:sz w:val="21"/>
                <w:szCs w:val="21"/>
                <w:lang w:val="en-US" w:eastAsia="zh-CN"/>
              </w:rPr>
              <w:t>16.86%氯菊酯 . S-生物烯丙菊酯水乳剂研发</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生产过程</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搅拌过程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搅拌时间，物料混合度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搅拌过程</w:t>
            </w:r>
            <w:r>
              <w:rPr>
                <w:rFonts w:hint="eastAsia"/>
              </w:rPr>
              <w:t>，</w:t>
            </w:r>
          </w:p>
          <w:p>
            <w:pPr>
              <w:shd w:val="clear" w:color="auto" w:fill="C7DAF1" w:themeFill="text2" w:themeFillTint="32"/>
              <w:jc w:val="left"/>
            </w:pPr>
            <w:r>
              <w:rPr>
                <w:rFonts w:hint="eastAsia" w:ascii="Wingdings" w:hAnsi="Wingdings"/>
                <w:lang w:eastAsia="zh-CN"/>
              </w:rPr>
              <w:sym w:font="Wingdings 2" w:char="0052"/>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A3"/>
            </w:r>
            <w:r>
              <w:rPr>
                <w:rFonts w:hint="eastAsia"/>
              </w:rPr>
              <w:t>维修</w:t>
            </w:r>
            <w:r>
              <w:rPr>
                <w:rFonts w:hint="eastAsia" w:ascii="Wingdings" w:hAnsi="Wingdings"/>
                <w:lang w:eastAsia="zh-CN"/>
              </w:rPr>
              <w:sym w:font="Wingdings 2" w:char="00A3"/>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sym w:font="Wingdings 2" w:char="00A3"/>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sym w:font="Wingdings 2" w:char="0052"/>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2022年9月10日-11日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2022年9月18日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t>□政治□监管□财务□自然环境□其他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sym w:font="Wingdings 2" w:char="0052"/>
            </w: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精心制作、提升品质、立足市场、顾客满意；</w:t>
            </w:r>
          </w:p>
          <w:p>
            <w:pPr>
              <w:widowControl/>
              <w:spacing w:before="40"/>
              <w:jc w:val="left"/>
              <w:rPr>
                <w:rFonts w:hint="eastAsia"/>
                <w:color w:val="000000"/>
                <w:szCs w:val="18"/>
              </w:rPr>
            </w:pPr>
            <w:r>
              <w:rPr>
                <w:rFonts w:hint="eastAsia"/>
                <w:color w:val="000000"/>
                <w:szCs w:val="18"/>
              </w:rPr>
              <w:t>规范操作，减少环境污染</w:t>
            </w:r>
          </w:p>
          <w:p>
            <w:pPr>
              <w:widowControl/>
              <w:spacing w:before="40"/>
              <w:jc w:val="left"/>
              <w:rPr>
                <w:rFonts w:hint="eastAsia"/>
                <w:color w:val="000000"/>
                <w:szCs w:val="18"/>
              </w:rPr>
            </w:pPr>
            <w:r>
              <w:rPr>
                <w:rFonts w:hint="eastAsia"/>
                <w:color w:val="000000"/>
                <w:szCs w:val="18"/>
              </w:rPr>
              <w:t>关爱生命，预防安全事故</w:t>
            </w:r>
          </w:p>
          <w:p>
            <w:pPr>
              <w:shd w:val="clear" w:color="auto" w:fill="EBF1DE" w:themeFill="accent3" w:themeFillTint="32"/>
              <w:rPr>
                <w:u w:val="single"/>
              </w:rPr>
            </w:pPr>
            <w:r>
              <w:rPr>
                <w:rFonts w:hint="eastAsia"/>
                <w:color w:val="000000"/>
                <w:szCs w:val="18"/>
              </w:rPr>
              <w:t>遵纪守法，追求不断改进</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安环部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潜在火灾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通过管理方案和预案措施、应急演练进行管理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固废排放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采取分类收集、管理方案进行管理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噪声排放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采取管理方案进行管理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废气排放</w:t>
                  </w:r>
                </w:p>
              </w:tc>
              <w:tc>
                <w:tcPr>
                  <w:tcW w:w="3965"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采取分类收集、管理方案进行管理</w:t>
                  </w:r>
                </w:p>
              </w:tc>
              <w:tc>
                <w:tcPr>
                  <w:tcW w:w="1717" w:type="dxa"/>
                  <w:vAlign w:val="top"/>
                </w:tcPr>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w:t>
            </w:r>
            <w:r>
              <w:rPr>
                <w:rFonts w:hint="eastAsia"/>
              </w:rPr>
              <w:sym w:font="Wingdings 2" w:char="0052"/>
            </w:r>
            <w:r>
              <w:rPr>
                <w:rFonts w:hint="eastAsia"/>
              </w:rPr>
              <w:t>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w:t>
            </w:r>
            <w:r>
              <w:rPr>
                <w:rFonts w:hint="eastAsia"/>
              </w:rPr>
              <w:sym w:font="Wingdings 2" w:char="0052"/>
            </w:r>
            <w:r>
              <w:rPr>
                <w:rFonts w:hint="eastAsia"/>
              </w:rPr>
              <w:t>危废排放</w:t>
            </w:r>
            <w:r>
              <w:rPr>
                <w:rFonts w:hint="eastAsia"/>
              </w:rPr>
              <w:sym w:font="Wingdings 2" w:char="0052"/>
            </w:r>
            <w:r>
              <w:rPr>
                <w:rFonts w:hint="eastAsia"/>
              </w:rPr>
              <w:t>噪声排放□危化品泄露</w:t>
            </w:r>
            <w:r>
              <w:rPr>
                <w:rFonts w:hint="eastAsia"/>
              </w:rPr>
              <w:sym w:font="Wingdings 2" w:char="0052"/>
            </w:r>
            <w:r>
              <w:rPr>
                <w:rFonts w:hint="eastAsia"/>
              </w:rPr>
              <w:t>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color w:val="000000"/>
                <w:szCs w:val="21"/>
                <w:u w:val="single"/>
              </w:rPr>
              <w:t>农药生许（浙）0007</w:t>
            </w:r>
          </w:p>
          <w:p>
            <w:pPr>
              <w:shd w:val="clear" w:color="auto" w:fill="EBF1DE" w:themeFill="accent3" w:themeFillTint="32"/>
            </w:pPr>
            <w:r>
              <w:rPr>
                <w:rFonts w:hint="eastAsia"/>
              </w:rPr>
              <w:sym w:font="Wingdings 2" w:char="0052"/>
            </w:r>
            <w:r>
              <w:rPr>
                <w:rFonts w:hint="eastAsia"/>
              </w:rPr>
              <w:t>排污许可证编号：</w:t>
            </w:r>
            <w:r>
              <w:rPr>
                <w:rFonts w:hint="eastAsia" w:ascii="宋体" w:hAnsi="宋体" w:eastAsia="宋体" w:cs="宋体"/>
                <w:color w:val="000000"/>
                <w:sz w:val="21"/>
                <w:szCs w:val="21"/>
                <w:u w:val="none"/>
              </w:rPr>
              <w:t>9133</w:t>
            </w:r>
            <w:r>
              <w:rPr>
                <w:rFonts w:hint="eastAsia" w:ascii="宋体" w:hAnsi="宋体" w:eastAsia="宋体" w:cs="宋体"/>
                <w:color w:val="000000"/>
                <w:sz w:val="21"/>
                <w:szCs w:val="21"/>
                <w:u w:val="none"/>
                <w:lang w:val="en-US" w:eastAsia="zh-CN"/>
              </w:rPr>
              <w:t>0702704562247C001P</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环境影响报告表日期：</w:t>
            </w:r>
            <w:r>
              <w:rPr>
                <w:rFonts w:hint="eastAsia"/>
                <w:lang w:val="en-US" w:eastAsia="zh-CN"/>
              </w:rPr>
              <w:t>2014年1月21日</w:t>
            </w:r>
          </w:p>
          <w:p>
            <w:pPr>
              <w:shd w:val="clear" w:color="auto" w:fill="EBF1DE" w:themeFill="accent3" w:themeFillTint="32"/>
            </w:pPr>
            <w:r>
              <w:rPr>
                <w:rFonts w:hint="eastAsia"/>
              </w:rPr>
              <w:t>□环境影响报告书日期：</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2007年7月23日</w:t>
            </w:r>
          </w:p>
          <w:p>
            <w:pPr>
              <w:shd w:val="clear" w:color="auto" w:fill="EBF1DE" w:themeFill="accent3" w:themeFillTint="32"/>
              <w:rPr>
                <w:highlight w:val="cyan"/>
              </w:rPr>
            </w:pPr>
            <w:r>
              <w:rPr>
                <w:rFonts w:hint="eastAsia"/>
              </w:rPr>
              <w:sym w:font="Wingdings 2" w:char="0052"/>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rPr>
              <w:t>危废合法处置</w:t>
            </w:r>
            <w:r>
              <w:rPr>
                <w:rFonts w:hint="eastAsia"/>
              </w:rPr>
              <w:sym w:font="Wingdings 2" w:char="0052"/>
            </w:r>
            <w:r>
              <w:rPr>
                <w:rFonts w:hint="eastAsia"/>
              </w:rPr>
              <w:t>使用节能设备</w:t>
            </w:r>
            <w:r>
              <w:rPr>
                <w:rFonts w:hint="eastAsia"/>
              </w:rPr>
              <w:sym w:font="Wingdings 2" w:char="0052"/>
            </w:r>
            <w:r>
              <w:rPr>
                <w:rFonts w:hint="eastAsia"/>
              </w:rPr>
              <w:t>危化品控制</w:t>
            </w:r>
          </w:p>
          <w:p>
            <w:pPr>
              <w:shd w:val="clear" w:color="auto" w:fill="EBF1DE" w:themeFill="accent3" w:themeFillTint="32"/>
              <w:rPr>
                <w:highlight w:val="cyan"/>
              </w:rPr>
            </w:pPr>
            <w:r>
              <w:rPr>
                <w:rFonts w:hint="eastAsia"/>
              </w:rPr>
              <w:sym w:font="Wingdings 2" w:char="0052"/>
            </w: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宋体"/>
                      <w:color w:val="auto"/>
                      <w:sz w:val="21"/>
                      <w:szCs w:val="21"/>
                    </w:rPr>
                    <w:t>废水、废气、噪声达标排放</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asciiTheme="minorEastAsia" w:hAnsiTheme="minorEastAsia" w:eastAsiaTheme="minorEastAsia"/>
                      <w:szCs w:val="21"/>
                    </w:rPr>
                    <w:t>通过管理方案和预案措施、</w:t>
                  </w:r>
                  <w:r>
                    <w:rPr>
                      <w:rFonts w:hint="eastAsia"/>
                      <w:lang w:val="en-US" w:eastAsia="zh-CN"/>
                    </w:rPr>
                    <w:t>定期检测进行管理</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安环部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宋体"/>
                      <w:color w:val="auto"/>
                      <w:sz w:val="21"/>
                      <w:szCs w:val="21"/>
                    </w:rPr>
                    <w:t>固废按规定分类处置率100%</w:t>
                  </w:r>
                </w:p>
              </w:tc>
              <w:tc>
                <w:tcPr>
                  <w:tcW w:w="3136" w:type="dxa"/>
                  <w:shd w:val="clear" w:color="auto" w:fill="auto"/>
                  <w:vAlign w:val="center"/>
                </w:tcPr>
                <w:p>
                  <w:pPr>
                    <w:shd w:val="clear" w:color="auto" w:fill="EBF1DE" w:themeFill="accent3" w:themeFillTint="32"/>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szCs w:val="21"/>
                    </w:rPr>
                    <w:t>采取分类收集、管理方案进行管理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安环部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宋体"/>
                      <w:color w:val="auto"/>
                      <w:sz w:val="21"/>
                      <w:szCs w:val="21"/>
                    </w:rPr>
                    <w:t>火灾发生率为0</w:t>
                  </w:r>
                </w:p>
              </w:tc>
              <w:tc>
                <w:tcPr>
                  <w:tcW w:w="3136" w:type="dxa"/>
                  <w:shd w:val="clear" w:color="auto" w:fill="auto"/>
                  <w:vAlign w:val="center"/>
                </w:tcPr>
                <w:p>
                  <w:pPr>
                    <w:shd w:val="clear" w:color="auto" w:fill="EBF1DE" w:themeFill="accent3" w:themeFillTint="32"/>
                    <w:rPr>
                      <w:rFonts w:ascii="宋体" w:hAnsi="宋体"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shd w:val="clear" w:color="auto" w:fill="EBF1DE" w:themeFill="accent3" w:themeFillTint="32"/>
                    <w:rPr>
                      <w:rFonts w:ascii="宋体" w:hAnsi="宋体"/>
                    </w:rPr>
                  </w:pPr>
                  <w:r>
                    <w:rPr>
                      <w:rFonts w:hint="eastAsia"/>
                      <w:lang w:val="en-US" w:eastAsia="zh-CN"/>
                    </w:rPr>
                    <w:t>安环部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lang w:val="en-US" w:eastAsia="zh-CN"/>
              </w:rPr>
              <w:t>60000</w:t>
            </w:r>
            <w:r>
              <w:rPr>
                <w:rFonts w:hint="eastAsia"/>
              </w:rPr>
              <w:t>平方米；生产车间</w:t>
            </w:r>
            <w:r>
              <w:rPr>
                <w:rFonts w:hint="eastAsia"/>
                <w:lang w:val="en-US" w:eastAsia="zh-CN"/>
              </w:rPr>
              <w:t>10</w:t>
            </w:r>
            <w:r>
              <w:rPr>
                <w:rFonts w:hint="eastAsia"/>
              </w:rPr>
              <w:t>个；库房个；实验室</w:t>
            </w:r>
            <w:r>
              <w:rPr>
                <w:rFonts w:hint="eastAsia"/>
                <w:lang w:val="en-US" w:eastAsia="zh-CN"/>
              </w:rPr>
              <w:t>2</w:t>
            </w:r>
            <w:r>
              <w:rPr>
                <w:rFonts w:hint="eastAsia"/>
              </w:rPr>
              <w:t>个；</w:t>
            </w:r>
          </w:p>
          <w:p>
            <w:pPr>
              <w:shd w:val="clear" w:color="auto" w:fill="EBF1DE" w:themeFill="accent3" w:themeFillTint="32"/>
              <w:rPr>
                <w:rFonts w:hint="eastAsia"/>
              </w:rPr>
            </w:pPr>
            <w:r>
              <w:rPr>
                <w:rFonts w:hint="eastAsia"/>
              </w:rPr>
              <w:t>主要生产设备有：</w:t>
            </w:r>
            <w:r>
              <w:rPr>
                <w:rFonts w:hint="eastAsia"/>
                <w:lang w:val="en-US" w:eastAsia="zh-CN"/>
              </w:rPr>
              <w:t>空压机、液体灌装生产线、水平包装机、粉碎设备、造粒机，自动包装机</w:t>
            </w:r>
            <w:r>
              <w:rPr>
                <w:rFonts w:hint="eastAsia"/>
              </w:rPr>
              <w:t>（列举2~4种）</w:t>
            </w:r>
          </w:p>
          <w:p>
            <w:pPr>
              <w:shd w:val="clear" w:color="auto" w:fill="EBF1DE" w:themeFill="accent3" w:themeFillTint="32"/>
              <w:rPr>
                <w:u w:val="single"/>
              </w:rPr>
            </w:pPr>
            <w:r>
              <w:rPr>
                <w:rFonts w:hint="eastAsia"/>
              </w:rPr>
              <w:t>主要环保设备有：</w:t>
            </w:r>
            <w:r>
              <w:rPr>
                <w:rFonts w:hint="eastAsia"/>
                <w:lang w:val="en-US" w:eastAsia="zh-CN"/>
              </w:rPr>
              <w:t>除尘器，活性炭吸附装置</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电子天平、PH计、色谱仪</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sym w:font="Wingdings 2" w:char="00A3"/>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宋体" w:hAnsi="宋体" w:eastAsia="宋体" w:cs="宋体"/>
                <w:sz w:val="21"/>
                <w:szCs w:val="21"/>
                <w:lang w:val="en-US" w:eastAsia="zh-CN"/>
              </w:rPr>
              <w:t>16.86%氯菊酯 . S-生物烯丙菊酯水乳剂研发</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sym w:font="Wingdings 2" w:char="0052"/>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r>
                    <w:rPr>
                      <w:rFonts w:hint="eastAsia" w:asciiTheme="minorEastAsia" w:hAnsiTheme="minorEastAsia" w:eastAsiaTheme="minorEastAsia"/>
                      <w:szCs w:val="21"/>
                    </w:rPr>
                    <w:t>管理方案进行管理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asciiTheme="minorEastAsia" w:hAnsiTheme="minorEastAsia" w:eastAsiaTheme="minorEastAsia"/>
                      <w:szCs w:val="21"/>
                    </w:rPr>
                    <w:t>管理方案进行管理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r>
                    <w:rPr>
                      <w:rFonts w:hint="eastAsia" w:asciiTheme="minorEastAsia" w:hAnsiTheme="minorEastAsia" w:eastAsiaTheme="minorEastAsia"/>
                      <w:szCs w:val="21"/>
                    </w:rPr>
                    <w:t>管理方案进行管理</w:t>
                  </w:r>
                </w:p>
              </w:tc>
              <w:tc>
                <w:tcPr>
                  <w:tcW w:w="3265" w:type="dxa"/>
                </w:tcPr>
                <w:p>
                  <w:pPr>
                    <w:shd w:val="clear" w:color="auto" w:fill="EBF1DE" w:themeFill="accent3" w:themeFillTint="32"/>
                    <w:jc w:val="left"/>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管理方案进行管理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采取收集、管理方案进行管理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采取分类收集、管理方案进行管理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通过管理方案和预案措施、应急演练进行管理</w:t>
                  </w:r>
                </w:p>
              </w:tc>
              <w:tc>
                <w:tcPr>
                  <w:tcW w:w="32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sym w:font="Wingdings 2" w:char="00A3"/>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2022年8月31日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2022年6月11日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2022年12月20日</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2022年9月10日-11日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2022年9月18日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w:t>
            </w:r>
            <w:r>
              <w:rPr>
                <w:rFonts w:hint="eastAsia"/>
              </w:rPr>
              <w:sym w:font="Wingdings 2" w:char="0052"/>
            </w:r>
            <w:r>
              <w:rPr>
                <w:rFonts w:hint="eastAsia"/>
              </w:rPr>
              <w:t>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sym w:font="Wingdings 2" w:char="0052"/>
            </w:r>
            <w:r>
              <w:rPr>
                <w:rFonts w:hint="eastAsia"/>
              </w:rPr>
              <w:t>安评三同时</w:t>
            </w:r>
            <w:r>
              <w:rPr>
                <w:rFonts w:hint="eastAsia"/>
              </w:rPr>
              <w:sym w:font="Wingdings 2" w:char="0052"/>
            </w:r>
            <w:r>
              <w:rPr>
                <w:rFonts w:hint="eastAsia"/>
              </w:rPr>
              <w:t>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u w:val="single"/>
              </w:rPr>
            </w:pPr>
            <w:r>
              <w:rPr>
                <w:rFonts w:hint="eastAsia"/>
                <w:u w:val="single"/>
              </w:rPr>
              <w:t>精心制作、提升品质、立足市场、顾客满意；</w:t>
            </w:r>
          </w:p>
          <w:p>
            <w:pPr>
              <w:rPr>
                <w:rFonts w:hint="eastAsia"/>
                <w:u w:val="single"/>
              </w:rPr>
            </w:pPr>
            <w:r>
              <w:rPr>
                <w:rFonts w:hint="eastAsia"/>
                <w:u w:val="single"/>
              </w:rPr>
              <w:t>规范操作，减少环境污染</w:t>
            </w:r>
          </w:p>
          <w:p>
            <w:pPr>
              <w:rPr>
                <w:rFonts w:hint="eastAsia"/>
                <w:u w:val="single"/>
              </w:rPr>
            </w:pPr>
            <w:r>
              <w:rPr>
                <w:rFonts w:hint="eastAsia"/>
                <w:u w:val="single"/>
              </w:rPr>
              <w:t>关爱生命，预防安全事故</w:t>
            </w:r>
          </w:p>
          <w:p>
            <w:pPr>
              <w:rPr>
                <w:u w:val="single"/>
              </w:rPr>
            </w:pPr>
            <w:r>
              <w:rPr>
                <w:rFonts w:hint="eastAsia"/>
                <w:u w:val="single"/>
              </w:rPr>
              <w:t>遵纪守法，追求不断改进</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安环部</w:t>
            </w:r>
          </w:p>
          <w:p>
            <w:pPr>
              <w:rPr>
                <w:rFonts w:hint="eastAsia" w:eastAsia="宋体"/>
                <w:lang w:val="en-US" w:eastAsia="zh-CN"/>
              </w:rPr>
            </w:pPr>
            <w:r>
              <w:rPr>
                <w:rFonts w:hint="eastAsia"/>
              </w:rPr>
              <w:t>安全的主管部门是——</w:t>
            </w:r>
            <w:r>
              <w:rPr>
                <w:rFonts w:hint="eastAsia"/>
                <w:lang w:val="en-US" w:eastAsia="zh-CN"/>
              </w:rPr>
              <w:t>安环部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ascii="宋体" w:hAnsi="宋体" w:eastAsia="宋体" w:cs="宋体"/>
                <w:sz w:val="21"/>
                <w:szCs w:val="21"/>
                <w:lang w:val="en-US" w:eastAsia="zh-CN"/>
              </w:rPr>
              <w:t>边垣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rPr>
                    <w:t>火灾</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通过管理方案和预案措施、应急演练进行管理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Cs w:val="21"/>
                    </w:rPr>
                    <w:t>触电</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ascii="Times New Roman" w:hAnsi="Times New Roman" w:eastAsia="宋体" w:cs="Times New Roman"/>
                      <w:kern w:val="2"/>
                      <w:sz w:val="21"/>
                      <w:szCs w:val="24"/>
                      <w:lang w:val="en-US" w:eastAsia="zh-CN" w:bidi="ar-SA"/>
                    </w:rPr>
                  </w:pPr>
                  <w:r>
                    <w:rPr>
                      <w:rFonts w:hint="eastAsia" w:ascii="宋体" w:hAnsi="宋体" w:cs="宋体"/>
                      <w:szCs w:val="21"/>
                    </w:rPr>
                    <w:t>意外伤害</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ascii="宋体" w:hAnsi="宋体" w:eastAsia="宋体" w:cs="宋体"/>
                      <w:sz w:val="21"/>
                      <w:szCs w:val="21"/>
                      <w:highlight w:val="none"/>
                      <w:lang w:val="en-US" w:eastAsia="zh-CN"/>
                    </w:rPr>
                    <w:t>职业病、传染病</w:t>
                  </w:r>
                </w:p>
              </w:tc>
              <w:tc>
                <w:tcPr>
                  <w:tcW w:w="3965" w:type="dxa"/>
                  <w:vAlign w:val="top"/>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通过管理方案和预案措施进行管理</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w:t>
            </w:r>
            <w:r>
              <w:rPr>
                <w:rFonts w:hint="eastAsia"/>
              </w:rPr>
              <w:sym w:font="Wingdings 2" w:char="0052"/>
            </w:r>
            <w:r>
              <w:rPr>
                <w:rFonts w:hint="eastAsia"/>
              </w:rPr>
              <w:t>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rPr>
              <w:sym w:font="Wingdings 2" w:char="0052"/>
            </w:r>
            <w:r>
              <w:rPr>
                <w:rFonts w:hint="eastAsia"/>
              </w:rPr>
              <w:t>职业病体检报告书日期：</w:t>
            </w:r>
            <w:r>
              <w:rPr>
                <w:rFonts w:hint="eastAsia"/>
                <w:lang w:val="en-US" w:eastAsia="zh-CN"/>
              </w:rPr>
              <w:t>2021年12月28日</w:t>
            </w:r>
          </w:p>
          <w:p>
            <w:pPr>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2007年7月23日</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rPr>
              <w:sym w:font="Wingdings 2" w:char="0052"/>
            </w:r>
            <w:r>
              <w:rPr>
                <w:rFonts w:hint="eastAsia"/>
              </w:rPr>
              <w:t>除尘设备</w:t>
            </w:r>
            <w:r>
              <w:rPr>
                <w:rFonts w:hint="eastAsia"/>
              </w:rPr>
              <w:sym w:font="Wingdings 2" w:char="0052"/>
            </w:r>
            <w:r>
              <w:rPr>
                <w:rFonts w:hint="eastAsia"/>
              </w:rPr>
              <w:t>漏电保护</w:t>
            </w:r>
            <w:r>
              <w:rPr>
                <w:rFonts w:hint="eastAsia"/>
              </w:rPr>
              <w:sym w:font="Wingdings 2" w:char="0052"/>
            </w:r>
            <w:r>
              <w:rPr>
                <w:rFonts w:hint="eastAsia"/>
              </w:rPr>
              <w:t>穿戴劳保用品</w:t>
            </w:r>
            <w:r>
              <w:rPr>
                <w:rFonts w:hint="eastAsia"/>
              </w:rPr>
              <w:sym w:font="Wingdings 2" w:char="0052"/>
            </w:r>
            <w:r>
              <w:rPr>
                <w:rFonts w:hint="eastAsia"/>
              </w:rPr>
              <w:t>作业票管理□挂牌上锁管理</w:t>
            </w:r>
          </w:p>
          <w:p>
            <w:pPr>
              <w:rPr>
                <w:highlight w:val="cyan"/>
              </w:rPr>
            </w:pP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eastAsia="宋体" w:cs="宋体"/>
                      <w:color w:val="auto"/>
                      <w:sz w:val="21"/>
                      <w:szCs w:val="21"/>
                    </w:rPr>
                    <w:t>重大安全事故发生率为0</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szCs w:val="21"/>
                    </w:rPr>
                    <w:t>通过管理方案和预案措施进行管理</w:t>
                  </w:r>
                </w:p>
              </w:tc>
              <w:tc>
                <w:tcPr>
                  <w:tcW w:w="1350"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宋体" w:hAnsi="宋体"/>
                      <w:lang w:val="en-US" w:eastAsia="zh-CN"/>
                    </w:rPr>
                    <w:t>安环部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职业病发生率为0</w:t>
                  </w:r>
                </w:p>
              </w:tc>
              <w:tc>
                <w:tcPr>
                  <w:tcW w:w="3136" w:type="dxa"/>
                  <w:shd w:val="clear" w:color="auto" w:fill="auto"/>
                  <w:vAlign w:val="center"/>
                </w:tcPr>
                <w:p>
                  <w:pPr>
                    <w:rPr>
                      <w:rFonts w:ascii="Times New Roman" w:hAnsi="Times New Roman" w:eastAsia="宋体" w:cs="Times New Roman"/>
                      <w:kern w:val="2"/>
                      <w:sz w:val="21"/>
                      <w:szCs w:val="24"/>
                      <w:lang w:val="en-US" w:eastAsia="zh-CN" w:bidi="ar-SA"/>
                    </w:rPr>
                  </w:pPr>
                  <w:r>
                    <w:rPr>
                      <w:rFonts w:hint="eastAsia" w:asciiTheme="minorEastAsia" w:hAnsiTheme="minorEastAsia" w:eastAsiaTheme="minorEastAsia"/>
                      <w:szCs w:val="21"/>
                    </w:rPr>
                    <w:t>通过管理方案和预案措施进行管理</w:t>
                  </w:r>
                </w:p>
              </w:tc>
              <w:tc>
                <w:tcPr>
                  <w:tcW w:w="1350" w:type="dxa"/>
                  <w:shd w:val="clear" w:color="auto" w:fill="auto"/>
                  <w:vAlign w:val="center"/>
                </w:tcPr>
                <w:p>
                  <w:pPr>
                    <w:rPr>
                      <w:rFonts w:ascii="宋体" w:hAnsi="宋体" w:eastAsia="宋体" w:cs="Times New Roman"/>
                      <w:kern w:val="2"/>
                      <w:sz w:val="21"/>
                      <w:szCs w:val="24"/>
                      <w:lang w:val="en-US" w:eastAsia="zh-CN" w:bidi="ar-SA"/>
                    </w:rPr>
                  </w:pPr>
                  <w:r>
                    <w:rPr>
                      <w:rFonts w:hint="eastAsia" w:ascii="宋体" w:hAnsi="宋体"/>
                      <w:lang w:val="en-US" w:eastAsia="zh-CN"/>
                    </w:rPr>
                    <w:t>安环部</w:t>
                  </w: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火灾发生率为0</w:t>
                  </w:r>
                </w:p>
              </w:tc>
              <w:tc>
                <w:tcPr>
                  <w:tcW w:w="3136" w:type="dxa"/>
                  <w:shd w:val="clear" w:color="auto" w:fill="auto"/>
                  <w:vAlign w:val="center"/>
                </w:tcPr>
                <w:p>
                  <w:pPr>
                    <w:rPr>
                      <w:rFonts w:ascii="宋体" w:hAnsi="宋体"/>
                    </w:rPr>
                  </w:pPr>
                  <w:r>
                    <w:rPr>
                      <w:rFonts w:hint="eastAsia" w:asciiTheme="minorEastAsia" w:hAnsiTheme="minorEastAsia" w:eastAsiaTheme="minorEastAsia"/>
                      <w:szCs w:val="21"/>
                    </w:rPr>
                    <w:t>通过管理方案和预案措施、应急演练进行管理</w:t>
                  </w:r>
                </w:p>
              </w:tc>
              <w:tc>
                <w:tcPr>
                  <w:tcW w:w="1350" w:type="dxa"/>
                  <w:shd w:val="clear" w:color="auto" w:fill="auto"/>
                  <w:vAlign w:val="center"/>
                </w:tcPr>
                <w:p>
                  <w:pPr>
                    <w:rPr>
                      <w:rFonts w:ascii="宋体" w:hAnsi="宋体"/>
                    </w:rPr>
                  </w:pPr>
                  <w:r>
                    <w:rPr>
                      <w:rFonts w:hint="eastAsia" w:ascii="宋体" w:hAnsi="宋体"/>
                      <w:lang w:val="en-US" w:eastAsia="zh-CN"/>
                    </w:rPr>
                    <w:t>安环部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传染病发生率为0</w:t>
                  </w:r>
                </w:p>
              </w:tc>
              <w:tc>
                <w:tcPr>
                  <w:tcW w:w="3136" w:type="dxa"/>
                  <w:shd w:val="clear" w:color="auto" w:fill="auto"/>
                  <w:vAlign w:val="center"/>
                </w:tcPr>
                <w:p>
                  <w:pPr>
                    <w:rPr>
                      <w:rFonts w:ascii="Times New Roman" w:hAnsi="Times New Roman" w:eastAsia="宋体" w:cs="Times New Roman"/>
                      <w:kern w:val="2"/>
                      <w:sz w:val="21"/>
                      <w:szCs w:val="24"/>
                      <w:lang w:val="en-GB" w:eastAsia="zh-CN" w:bidi="ar-SA"/>
                    </w:rPr>
                  </w:pPr>
                  <w:r>
                    <w:rPr>
                      <w:rFonts w:hint="eastAsia" w:asciiTheme="minorEastAsia" w:hAnsiTheme="minorEastAsia" w:eastAsiaTheme="minorEastAsia"/>
                      <w:szCs w:val="21"/>
                    </w:rPr>
                    <w:t>通过管理方案和预案措施进行管理</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安环部</w:t>
                  </w:r>
                </w:p>
              </w:tc>
              <w:tc>
                <w:tcPr>
                  <w:tcW w:w="1774" w:type="dxa"/>
                  <w:shd w:val="clear" w:color="auto" w:fill="auto"/>
                  <w:vAlign w:val="center"/>
                </w:tcPr>
                <w:p>
                  <w:pPr>
                    <w:jc w:val="center"/>
                    <w:rPr>
                      <w:rFonts w:hint="eastAsia" w:ascii="宋体" w:hAnsi="宋体" w:eastAsia="宋体"/>
                      <w:lang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eastAsia"/>
              </w:rPr>
            </w:pPr>
            <w:r>
              <w:rPr>
                <w:rFonts w:hint="eastAsia"/>
              </w:rPr>
              <w:t>建筑面积60000平方米；生产车间10个；库房个；实验室2个；</w:t>
            </w:r>
          </w:p>
          <w:p>
            <w:pPr>
              <w:rPr>
                <w:rFonts w:hint="eastAsia"/>
              </w:rPr>
            </w:pPr>
            <w:r>
              <w:rPr>
                <w:rFonts w:hint="eastAsia"/>
              </w:rPr>
              <w:t>主要生产设备有：空压机、液体灌装生产线、水平包装机、粉碎设备、造粒机，自动包装机（列举2~4种）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sym w:font="Wingdings 2" w:char="0052"/>
            </w:r>
            <w:r>
              <w:rPr>
                <w:rFonts w:hint="eastAsia"/>
              </w:rPr>
              <w:t>联锁装置</w:t>
            </w:r>
            <w:r>
              <w:rPr>
                <w:rFonts w:hint="eastAsia" w:ascii="Wingdings" w:hAnsi="Wingdings"/>
                <w:lang w:eastAsia="zh-CN"/>
              </w:rPr>
              <w:sym w:font="Wingdings 2" w:char="0052"/>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A3"/>
            </w:r>
            <w:r>
              <w:rPr>
                <w:rFonts w:hint="eastAsia"/>
              </w:rPr>
              <w:t>锅炉</w:t>
            </w:r>
            <w:r>
              <w:rPr>
                <w:rFonts w:hint="eastAsia" w:ascii="Wingdings" w:hAnsi="Wingdings"/>
                <w:lang w:eastAsia="zh-CN"/>
              </w:rPr>
              <w:sym w:font="Wingdings 2" w:char="0052"/>
            </w:r>
            <w:r>
              <w:rPr>
                <w:rFonts w:hint="eastAsia"/>
              </w:rPr>
              <w:t>电梯</w:t>
            </w:r>
            <w:r>
              <w:rPr>
                <w:rFonts w:hint="eastAsia" w:ascii="Wingdings" w:hAnsi="Wingdings"/>
                <w:lang w:eastAsia="zh-CN"/>
              </w:rPr>
              <w:sym w:font="Wingdings 2" w:char="0052"/>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sym w:font="Wingdings 2" w:char="0052"/>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sym w:font="Wingdings 2" w:char="0052"/>
            </w:r>
            <w:r>
              <w:rPr>
                <w:rFonts w:hint="eastAsia"/>
              </w:rPr>
              <w:t>危化品库</w:t>
            </w:r>
          </w:p>
          <w:p>
            <w:pPr>
              <w:ind w:firstLine="1050" w:firstLineChars="500"/>
            </w:pPr>
            <w:r>
              <w:rPr>
                <w:rFonts w:hint="eastAsia" w:ascii="Wingdings" w:hAnsi="Wingdings"/>
                <w:lang w:eastAsia="zh-CN"/>
              </w:rPr>
              <w:sym w:font="Wingdings 2" w:char="0052"/>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r>
              <w:rPr>
                <w:rFonts w:hint="eastAsia"/>
              </w:rPr>
              <w:t>职业健康安全监测的计量器具有：</w:t>
            </w:r>
          </w:p>
          <w:p>
            <w:r>
              <w:rPr>
                <w:rFonts w:hint="eastAsia" w:ascii="Wingdings" w:hAnsi="Wingdings"/>
                <w:lang w:eastAsia="zh-CN"/>
              </w:rPr>
              <w:sym w:font="Wingdings 2" w:char="0052"/>
            </w:r>
            <w:r>
              <w:rPr>
                <w:rFonts w:hint="eastAsia"/>
              </w:rPr>
              <w:t>压力表</w:t>
            </w:r>
            <w:r>
              <w:rPr>
                <w:rFonts w:hint="eastAsia" w:ascii="Wingdings" w:hAnsi="Wingdings"/>
                <w:lang w:eastAsia="zh-CN"/>
              </w:rPr>
              <w:sym w:font="Wingdings 2" w:char="0052"/>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sym w:font="Wingdings 2" w:char="0052"/>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sym w:font="Wingdings 2" w:char="0052"/>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宋体" w:hAnsi="宋体" w:eastAsia="宋体" w:cs="宋体"/>
                <w:sz w:val="21"/>
                <w:szCs w:val="21"/>
                <w:lang w:val="en-US" w:eastAsia="zh-CN"/>
              </w:rPr>
              <w:t>16.86%氯菊酯 . S-生物烯丙菊酯水乳剂研发</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rPr>
                      <w:rFonts w:hint="eastAsia" w:eastAsia="宋体"/>
                      <w:lang w:val="en-US" w:eastAsia="zh-CN"/>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粉尘</w:t>
                  </w:r>
                </w:p>
              </w:tc>
              <w:tc>
                <w:tcPr>
                  <w:tcW w:w="4725" w:type="dxa"/>
                </w:tcPr>
                <w:p>
                  <w:pPr>
                    <w:jc w:val="left"/>
                  </w:pPr>
                  <w:r>
                    <w:rPr>
                      <w:rFonts w:hint="eastAsia"/>
                    </w:rPr>
                    <w:sym w:font="Wingdings 2" w:char="0052"/>
                  </w:r>
                  <w:r>
                    <w:rPr>
                      <w:rFonts w:hint="eastAsia"/>
                    </w:rPr>
                    <w:t>除尘装置</w:t>
                  </w:r>
                  <w:r>
                    <w:rPr>
                      <w:rFonts w:hint="eastAsia"/>
                    </w:rPr>
                    <w:sym w:font="Wingdings 2" w:char="0052"/>
                  </w:r>
                  <w:r>
                    <w:rPr>
                      <w:rFonts w:hint="eastAsia"/>
                    </w:rPr>
                    <w:t>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噪声</w:t>
                  </w:r>
                </w:p>
              </w:tc>
              <w:tc>
                <w:tcPr>
                  <w:tcW w:w="4725" w:type="dxa"/>
                </w:tcPr>
                <w:p>
                  <w:pPr>
                    <w:jc w:val="left"/>
                  </w:pPr>
                  <w:r>
                    <w:rPr>
                      <w:rFonts w:hint="eastAsia"/>
                    </w:rPr>
                    <w:sym w:font="Wingdings 2" w:char="0052"/>
                  </w:r>
                  <w:r>
                    <w:rPr>
                      <w:rFonts w:hint="eastAsia"/>
                    </w:rPr>
                    <w:t>空间隔离□穿戴劳保用品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火灾</w:t>
                  </w:r>
                </w:p>
              </w:tc>
              <w:tc>
                <w:tcPr>
                  <w:tcW w:w="4725" w:type="dxa"/>
                </w:tcPr>
                <w:p>
                  <w:pPr>
                    <w:jc w:val="left"/>
                    <w:rPr>
                      <w:rFonts w:hint="eastAsia" w:eastAsia="宋体"/>
                      <w:lang w:val="en-US" w:eastAsia="zh-CN"/>
                    </w:rPr>
                  </w:pPr>
                  <w:r>
                    <w:rPr>
                      <w:rFonts w:hint="eastAsia"/>
                      <w:lang w:val="en-US" w:eastAsia="zh-CN"/>
                    </w:rPr>
                    <w:t>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叉车检验报告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sym w:font="Wingdings 2" w:char="0052"/>
            </w:r>
            <w:r>
              <w:rPr>
                <w:rFonts w:hint="eastAsia"/>
              </w:rPr>
              <w:t>MSDS</w:t>
            </w:r>
            <w:r>
              <w:rPr>
                <w:rFonts w:hint="eastAsia" w:ascii="Wingdings" w:hAnsi="Wingdings"/>
                <w:lang w:eastAsia="zh-CN"/>
              </w:rPr>
              <w:sym w:font="Wingdings 2" w:char="0052"/>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2022年8月31日</w:t>
            </w:r>
            <w:r>
              <w:rPr>
                <w:rFonts w:hint="eastAsia"/>
              </w:rPr>
              <w:t>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2022年5月30日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sym w:font="Wingdings 2" w:char="0052"/>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r>
              <w:rPr>
                <w:rFonts w:hint="eastAsia"/>
                <w:lang w:val="en-US" w:eastAsia="zh-CN"/>
              </w:rPr>
              <w:t>TGZR21-2038</w:t>
            </w:r>
            <w:r>
              <w:rPr>
                <w:rFonts w:hint="eastAsia"/>
              </w:rPr>
              <w:t>。</w:t>
            </w:r>
          </w:p>
          <w:p>
            <w:r>
              <w:rPr>
                <w:rFonts w:hint="eastAsia"/>
              </w:rPr>
              <w:t>职业病体检：</w:t>
            </w:r>
            <w:r>
              <w:rPr>
                <w:rFonts w:hint="eastAsia" w:ascii="Wingdings" w:hAnsi="Wingdings"/>
                <w:lang w:eastAsia="zh-CN"/>
              </w:rPr>
              <w:sym w:font="Wingdings 2" w:char="00A3"/>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sym w:font="Wingdings 2" w:char="0052"/>
            </w:r>
            <w:r>
              <w:rPr>
                <w:rFonts w:hint="eastAsia"/>
              </w:rPr>
              <w:t>在职（定期）</w:t>
            </w:r>
          </w:p>
          <w:p>
            <w:r>
              <w:rPr>
                <w:rFonts w:hint="eastAsia"/>
              </w:rPr>
              <w:t>《职业病体检》编号：</w:t>
            </w:r>
            <w:r>
              <w:rPr>
                <w:rFonts w:hint="eastAsia"/>
                <w:lang w:eastAsia="zh-CN"/>
              </w:rPr>
              <w:t>（</w:t>
            </w:r>
            <w:r>
              <w:rPr>
                <w:rFonts w:hint="eastAsia"/>
                <w:lang w:val="en-US" w:eastAsia="zh-CN"/>
              </w:rPr>
              <w:t>金</w:t>
            </w:r>
            <w:r>
              <w:rPr>
                <w:rFonts w:hint="eastAsia"/>
                <w:lang w:eastAsia="zh-CN"/>
              </w:rPr>
              <w:t>）</w:t>
            </w:r>
            <w:r>
              <w:rPr>
                <w:rFonts w:hint="eastAsia"/>
                <w:lang w:val="en-US" w:eastAsia="zh-CN"/>
              </w:rPr>
              <w:t>职检字2021-0763</w:t>
            </w:r>
            <w:r>
              <w:rPr>
                <w:rFonts w:hint="eastAsia"/>
              </w:rPr>
              <w:t>。</w:t>
            </w:r>
          </w:p>
          <w:p>
            <w:r>
              <w:rPr>
                <w:rFonts w:hint="eastAsia"/>
              </w:rPr>
              <w:t>《建筑消防检测报告》编号：</w:t>
            </w:r>
            <w:r>
              <w:rPr>
                <w:rFonts w:hint="eastAsia"/>
                <w:lang w:val="en-US" w:eastAsia="zh-CN"/>
              </w:rPr>
              <w:t>金婺公消验建字｛2007｝第0015号</w:t>
            </w:r>
            <w:r>
              <w:rPr>
                <w:rFonts w:hint="eastAsia"/>
              </w:rPr>
              <w:t>。</w:t>
            </w:r>
          </w:p>
          <w:p>
            <w:r>
              <w:rPr>
                <w:rFonts w:hint="eastAsia"/>
              </w:rPr>
              <w:t>《防雷检测报告》编号：</w:t>
            </w:r>
            <w:r>
              <w:rPr>
                <w:rFonts w:hint="eastAsia"/>
                <w:lang w:val="en-US" w:eastAsia="zh-CN"/>
              </w:rPr>
              <w:t>JSHY232022314</w:t>
            </w:r>
            <w:r>
              <w:rPr>
                <w:rFonts w:hint="eastAsia"/>
              </w:rPr>
              <w:t>。</w:t>
            </w:r>
          </w:p>
          <w:p>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2022年19月10日-11日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2022年9月18日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sym w:font="Wingdings 2" w:char="0052"/>
            </w:r>
            <w:r>
              <w:rPr>
                <w:rFonts w:hint="eastAsia"/>
              </w:rPr>
              <w:t>工伤事件</w:t>
            </w:r>
            <w:r>
              <w:rPr>
                <w:rFonts w:hint="eastAsia" w:ascii="Wingdings" w:hAnsi="Wingdings"/>
                <w:lang w:eastAsia="zh-CN"/>
              </w:rPr>
              <w:sym w:font="Wingdings 2" w:char="0052"/>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sym w:font="Wingdings 2" w:char="0052"/>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sym w:font="Wingdings 2" w:char="0052"/>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8"/>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59C547B1"/>
    <w:rsid w:val="77CF052E"/>
    <w:rsid w:val="7D7460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jc w:val="left"/>
      <w:outlineLvl w:val="1"/>
    </w:pPr>
    <w:rPr>
      <w:rFonts w:eastAsia="黑体"/>
      <w:spacing w:val="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0"/>
    <w:pPr>
      <w:spacing w:line="312" w:lineRule="auto"/>
    </w:pPr>
    <w:rPr>
      <w:rFonts w:ascii="Arial" w:hAnsi="Arial" w:eastAsia="楷体_GB2312"/>
      <w:spacing w:val="20"/>
      <w:szCs w:val="20"/>
    </w:rPr>
  </w:style>
  <w:style w:type="paragraph" w:styleId="5">
    <w:name w:val="Body Text Indent"/>
    <w:basedOn w:val="1"/>
    <w:qFormat/>
    <w:uiPriority w:val="0"/>
    <w:pPr>
      <w:ind w:left="360"/>
    </w:pPr>
    <w:rPr>
      <w:sz w:val="20"/>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8"/>
    <w:qFormat/>
    <w:uiPriority w:val="99"/>
    <w:rPr>
      <w:rFonts w:ascii="Times New Roman" w:hAnsi="Times New Roman" w:eastAsia="宋体" w:cs="Times New Roman"/>
      <w:sz w:val="18"/>
      <w:szCs w:val="18"/>
    </w:rPr>
  </w:style>
  <w:style w:type="character" w:customStyle="1" w:styleId="17">
    <w:name w:val="页脚 Char"/>
    <w:basedOn w:val="13"/>
    <w:link w:val="7"/>
    <w:qFormat/>
    <w:uiPriority w:val="99"/>
    <w:rPr>
      <w:rFonts w:ascii="Times New Roman" w:hAnsi="Times New Roman" w:eastAsia="宋体" w:cs="Times New Roman"/>
      <w:sz w:val="18"/>
      <w:szCs w:val="18"/>
    </w:rPr>
  </w:style>
  <w:style w:type="character" w:customStyle="1" w:styleId="18">
    <w:name w:val="批注框文本 Char"/>
    <w:basedOn w:val="13"/>
    <w:link w:val="6"/>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18671</Words>
  <Characters>19518</Characters>
  <Lines>150</Lines>
  <Paragraphs>42</Paragraphs>
  <TotalTime>0</TotalTime>
  <ScaleCrop>false</ScaleCrop>
  <LinksUpToDate>false</LinksUpToDate>
  <CharactersWithSpaces>19639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2022-09-26T06:18:25Z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