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北京赛瑞迪普家居装饰有限公司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北京赛瑞迪普家居装饰有限公司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北京市门头沟区增产路24号平房6号</w:t>
            </w:r>
            <w:bookmarkEnd w:id="6"/>
          </w:p>
        </w:tc>
        <w:tc>
          <w:tcPr>
            <w:tcW w:w="1242" w:type="dxa"/>
            <w:vMerge w:val="restart"/>
            <w:vAlign w:val="center"/>
          </w:tcPr>
          <w:p>
            <w:r>
              <w:rPr>
                <w:rFonts w:hint="eastAsia"/>
              </w:rPr>
              <w:t>邮编</w:t>
            </w:r>
          </w:p>
        </w:tc>
        <w:tc>
          <w:tcPr>
            <w:tcW w:w="1771" w:type="dxa"/>
          </w:tcPr>
          <w:p>
            <w:bookmarkStart w:id="7" w:name="注册邮编"/>
            <w:r>
              <w:t>102300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经营地址：北京市门头沟区增产路24号平房6号</w:t>
            </w:r>
            <w:bookmarkEnd w:id="8"/>
          </w:p>
        </w:tc>
        <w:tc>
          <w:tcPr>
            <w:tcW w:w="1242" w:type="dxa"/>
            <w:vMerge w:val="continue"/>
            <w:vAlign w:val="center"/>
          </w:tcPr>
          <w:p/>
        </w:tc>
        <w:tc>
          <w:tcPr>
            <w:tcW w:w="1771" w:type="dxa"/>
          </w:tcPr>
          <w:p>
            <w:bookmarkStart w:id="9" w:name="办公邮编"/>
            <w:r>
              <w:t>102300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董蕾</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董鑫</w:t>
            </w:r>
            <w:bookmarkEnd w:id="13"/>
          </w:p>
        </w:tc>
        <w:tc>
          <w:tcPr>
            <w:tcW w:w="1313" w:type="dxa"/>
            <w:vAlign w:val="center"/>
          </w:tcPr>
          <w:p>
            <w:r>
              <w:rPr>
                <w:rFonts w:hint="eastAsia"/>
              </w:rPr>
              <w:t>管理者代表</w:t>
            </w:r>
          </w:p>
        </w:tc>
        <w:tc>
          <w:tcPr>
            <w:tcW w:w="2180" w:type="dxa"/>
          </w:tcPr>
          <w:p>
            <w:bookmarkStart w:id="14" w:name="管理者代表"/>
            <w:r>
              <w:t>董蕾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jc w:val="left"/>
              <w:rPr>
                <w:rFonts w:hint="eastAsia" w:ascii="宋体" w:hAnsi="宋体" w:cs="宋体"/>
                <w:bCs/>
                <w:sz w:val="21"/>
                <w:szCs w:val="21"/>
              </w:rPr>
            </w:pPr>
            <w:r>
              <w:rPr>
                <w:rFonts w:hint="eastAsia" w:ascii="宋体" w:hAnsi="宋体" w:cs="宋体"/>
                <w:bCs/>
                <w:sz w:val="21"/>
                <w:szCs w:val="21"/>
              </w:rPr>
              <w:t>买家咨询-要求评审-签订合同—产品采购-产品验收—交付—验收-客户满意</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2022年09月22日 下午至2022年09月24日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北京市门头沟区增产路24号平房6号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E：家具、灯具、地毯、厨具、窗帘、家居装饰用品的销售所涉及场所的相关环境管理活动</w:t>
            </w:r>
          </w:p>
          <w:p>
            <w:r>
              <w:t>Q：家具、灯具、地毯、厨具、窗帘、家居装饰用品的销售</w:t>
            </w:r>
          </w:p>
          <w:p>
            <w:r>
              <w:t>O：家具、灯具、地毯、厨具、窗帘、家居装饰用品的销售所涉及场所的相关职业健康安全管理活动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Q：29.12.00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03</w:t>
            </w:r>
            <w:r>
              <w:rPr>
                <w:rFonts w:hint="eastAsia"/>
              </w:rPr>
              <w:t>月</w:t>
            </w:r>
            <w:r>
              <w:rPr>
                <w:rFonts w:hint="eastAsia"/>
                <w:lang w:val="en-US" w:eastAsia="zh-CN"/>
              </w:rPr>
              <w:t>05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北京赛瑞迪普家居装饰有限公司</w:t>
            </w:r>
            <w:r>
              <w:rPr>
                <w:rFonts w:hint="eastAsia"/>
                <w:sz w:val="21"/>
                <w:szCs w:val="21"/>
                <w:lang w:val="en-US" w:eastAsia="zh-CN"/>
              </w:rPr>
              <w:t>/</w:t>
            </w:r>
            <w:r>
              <w:rPr>
                <w:rFonts w:asciiTheme="minorEastAsia" w:hAnsiTheme="minorEastAsia" w:eastAsiaTheme="minorEastAsia"/>
                <w:sz w:val="20"/>
              </w:rPr>
              <w:t>北京市门头沟区增产路24号平房6号</w:t>
            </w:r>
          </w:p>
        </w:tc>
        <w:tc>
          <w:tcPr>
            <w:tcW w:w="2267" w:type="dxa"/>
          </w:tcPr>
          <w:p>
            <w:pPr>
              <w:rPr>
                <w:lang w:val="de-DE" w:eastAsia="ja-JP"/>
              </w:rPr>
            </w:pPr>
            <w:r>
              <w:rPr>
                <w:rFonts w:asciiTheme="minorEastAsia" w:hAnsiTheme="minorEastAsia" w:eastAsiaTheme="minorEastAsia"/>
                <w:sz w:val="20"/>
              </w:rPr>
              <w:t>北京市门头沟区增产路24号平房6号</w:t>
            </w:r>
          </w:p>
        </w:tc>
        <w:tc>
          <w:tcPr>
            <w:tcW w:w="571" w:type="dxa"/>
            <w:vAlign w:val="center"/>
          </w:tcPr>
          <w:p>
            <w:pPr>
              <w:rPr>
                <w:rFonts w:hint="default" w:eastAsia="宋体"/>
                <w:lang w:val="en-US" w:eastAsia="zh-CN"/>
              </w:rPr>
            </w:pPr>
            <w:r>
              <w:rPr>
                <w:rFonts w:hint="eastAsia"/>
                <w:lang w:val="en-US" w:eastAsia="zh-CN"/>
              </w:rPr>
              <w:t>30人</w:t>
            </w:r>
          </w:p>
        </w:tc>
        <w:tc>
          <w:tcPr>
            <w:tcW w:w="2803" w:type="dxa"/>
            <w:vAlign w:val="center"/>
          </w:tcPr>
          <w:p>
            <w:pPr>
              <w:rPr>
                <w:sz w:val="20"/>
              </w:rPr>
            </w:pPr>
            <w:r>
              <w:rPr>
                <w:sz w:val="20"/>
              </w:rPr>
              <w:t>E：家具、灯具、地毯、厨具、窗帘、家居装饰用品的销售所涉及场所的相关环境管理活动</w:t>
            </w:r>
          </w:p>
          <w:p>
            <w:pPr>
              <w:rPr>
                <w:sz w:val="20"/>
              </w:rPr>
            </w:pPr>
            <w:r>
              <w:rPr>
                <w:sz w:val="20"/>
              </w:rPr>
              <w:t>Q：家具、灯具、地毯、厨具、窗帘、家居装饰用品的销售</w:t>
            </w:r>
          </w:p>
          <w:p>
            <w:pPr>
              <w:rPr>
                <w:lang w:eastAsia="ja-JP"/>
              </w:rPr>
            </w:pPr>
            <w:r>
              <w:rPr>
                <w:sz w:val="20"/>
              </w:rPr>
              <w:t>O：家具、灯具、地毯、厨具、窗帘、家居装饰用品的销售所涉及场所的相关职业健康安全管理活动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2020-N1QMS-2219448</w:t>
            </w:r>
          </w:p>
          <w:p>
            <w:r>
              <w:t>2020-N1OHSMS-2219448</w:t>
            </w:r>
          </w:p>
        </w:tc>
        <w:tc>
          <w:tcPr>
            <w:tcW w:w="2179" w:type="dxa"/>
            <w:vAlign w:val="center"/>
          </w:tcPr>
          <w:p>
            <w:r>
              <w:t>E:29.12.00</w:t>
            </w:r>
          </w:p>
          <w:p>
            <w:r>
              <w:t>Q:29.12.00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2021-N1EMS-3205805</w:t>
            </w:r>
          </w:p>
          <w:p>
            <w:r>
              <w:t>2021-N1QMS-3205805</w:t>
            </w:r>
          </w:p>
          <w:p>
            <w:r>
              <w:t>2022-N0OHSMS-1205805</w:t>
            </w:r>
          </w:p>
        </w:tc>
        <w:tc>
          <w:tcPr>
            <w:tcW w:w="2179" w:type="dxa"/>
            <w:vAlign w:val="center"/>
          </w:tcPr>
          <w:p>
            <w:r>
              <w:t>E:29.12.00</w:t>
            </w:r>
          </w:p>
          <w:p>
            <w:r>
              <w:t>Q:29.12.00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家具、灯具、地毯、厨具、窗帘、家居装饰用品的销售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家具、灯具、地毯、厨具、窗帘、家居装饰用品的销售所涉及场所的相关环境管理活动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家具、灯具、地毯、厨具、窗帘、家居装饰用品的销售所涉及场所的相关职业健康安全管理活动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298450</wp:posOffset>
                  </wp:positionH>
                  <wp:positionV relativeFrom="paragraph">
                    <wp:posOffset>29210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210" w:firstLineChars="100"/>
              <w:jc w:val="center"/>
              <w:rPr>
                <w:rFonts w:hint="eastAsia" w:ascii="宋体" w:hAnsi="宋体" w:cs="宋体"/>
                <w:b w:val="0"/>
                <w:bCs/>
                <w:sz w:val="21"/>
                <w:szCs w:val="21"/>
              </w:rPr>
            </w:pPr>
            <w:r>
              <w:rPr>
                <w:rFonts w:hint="eastAsia" w:ascii="宋体" w:hAnsi="宋体" w:cs="宋体"/>
                <w:b w:val="0"/>
                <w:bCs/>
                <w:sz w:val="21"/>
                <w:szCs w:val="21"/>
              </w:rPr>
              <w:t>以人为本，遵守法规；把握市场，客户满意，绿色环保，保障健康；持续改进，追求卓越。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220"/>
              <w:gridCol w:w="307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49" w:type="dxa"/>
                </w:tcPr>
                <w:p>
                  <w:pPr>
                    <w:widowControl/>
                    <w:spacing w:before="40"/>
                    <w:jc w:val="left"/>
                    <w:rPr>
                      <w:color w:val="000000"/>
                      <w:szCs w:val="18"/>
                    </w:rPr>
                  </w:pPr>
                  <w:r>
                    <w:rPr>
                      <w:rFonts w:hint="eastAsia"/>
                      <w:color w:val="000000"/>
                      <w:szCs w:val="18"/>
                    </w:rPr>
                    <w:t>目标</w:t>
                  </w:r>
                </w:p>
              </w:tc>
              <w:tc>
                <w:tcPr>
                  <w:tcW w:w="1220" w:type="dxa"/>
                </w:tcPr>
                <w:p>
                  <w:pPr>
                    <w:widowControl/>
                    <w:spacing w:before="40"/>
                    <w:jc w:val="left"/>
                    <w:rPr>
                      <w:color w:val="000000"/>
                      <w:szCs w:val="18"/>
                    </w:rPr>
                  </w:pPr>
                  <w:r>
                    <w:rPr>
                      <w:rFonts w:hint="eastAsia"/>
                      <w:color w:val="000000"/>
                      <w:szCs w:val="18"/>
                    </w:rPr>
                    <w:t>考核频次</w:t>
                  </w:r>
                </w:p>
              </w:tc>
              <w:tc>
                <w:tcPr>
                  <w:tcW w:w="3079" w:type="dxa"/>
                </w:tcPr>
                <w:p>
                  <w:pPr>
                    <w:widowControl/>
                    <w:spacing w:before="40"/>
                    <w:jc w:val="left"/>
                    <w:rPr>
                      <w:color w:val="000000"/>
                      <w:szCs w:val="18"/>
                    </w:rPr>
                  </w:pPr>
                  <w:r>
                    <w:rPr>
                      <w:rFonts w:hint="eastAsia"/>
                      <w:color w:val="000000"/>
                      <w:szCs w:val="18"/>
                    </w:rPr>
                    <w:t>计算方法</w:t>
                  </w:r>
                </w:p>
              </w:tc>
              <w:tc>
                <w:tcPr>
                  <w:tcW w:w="2150"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49" w:type="dxa"/>
                  <w:vAlign w:val="center"/>
                </w:tcPr>
                <w:p>
                  <w:pPr>
                    <w:spacing w:line="360" w:lineRule="auto"/>
                    <w:rPr>
                      <w:color w:val="000000"/>
                      <w:szCs w:val="18"/>
                      <w:highlight w:val="none"/>
                    </w:rPr>
                  </w:pPr>
                  <w:r>
                    <w:rPr>
                      <w:rFonts w:hint="eastAsia" w:ascii="宋体" w:hAnsi="宋体"/>
                      <w:szCs w:val="21"/>
                      <w:highlight w:val="none"/>
                    </w:rPr>
                    <w:t>1.合同</w:t>
                  </w:r>
                  <w:r>
                    <w:rPr>
                      <w:rFonts w:hint="eastAsia" w:ascii="宋体" w:hAnsi="宋体"/>
                      <w:szCs w:val="21"/>
                      <w:highlight w:val="none"/>
                      <w:lang w:val="en-US" w:eastAsia="zh-CN"/>
                    </w:rPr>
                    <w:t>交付合格</w:t>
                  </w:r>
                  <w:r>
                    <w:rPr>
                      <w:rFonts w:hint="eastAsia" w:ascii="宋体" w:hAnsi="宋体"/>
                      <w:szCs w:val="21"/>
                      <w:highlight w:val="none"/>
                    </w:rPr>
                    <w:t>率100%</w:t>
                  </w:r>
                </w:p>
              </w:tc>
              <w:tc>
                <w:tcPr>
                  <w:tcW w:w="1220"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079" w:type="dxa"/>
                  <w:vAlign w:val="center"/>
                </w:tcPr>
                <w:p>
                  <w:pPr>
                    <w:rPr>
                      <w:color w:val="000000"/>
                      <w:szCs w:val="18"/>
                      <w:highlight w:val="none"/>
                    </w:rPr>
                  </w:pPr>
                  <w:r>
                    <w:rPr>
                      <w:rFonts w:hint="eastAsia" w:ascii="宋体" w:hAnsi="宋体"/>
                      <w:szCs w:val="21"/>
                      <w:highlight w:val="none"/>
                    </w:rPr>
                    <w:t>按时完成数÷合同总数</w:t>
                  </w:r>
                </w:p>
              </w:tc>
              <w:tc>
                <w:tcPr>
                  <w:tcW w:w="2150" w:type="dxa"/>
                </w:tcPr>
                <w:p>
                  <w:pPr>
                    <w:widowControl/>
                    <w:spacing w:before="40"/>
                    <w:jc w:val="left"/>
                    <w:rPr>
                      <w:color w:val="000000"/>
                      <w:szCs w:val="18"/>
                      <w:highlight w:val="none"/>
                    </w:rPr>
                  </w:pPr>
                  <w:r>
                    <w:rPr>
                      <w:rFonts w:hint="eastAsia"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49" w:type="dxa"/>
                  <w:vAlign w:val="center"/>
                </w:tcPr>
                <w:p>
                  <w:pPr>
                    <w:spacing w:line="360" w:lineRule="auto"/>
                    <w:rPr>
                      <w:color w:val="000000"/>
                      <w:szCs w:val="18"/>
                      <w:highlight w:val="none"/>
                    </w:rPr>
                  </w:pPr>
                  <w:r>
                    <w:rPr>
                      <w:rFonts w:hint="eastAsia" w:ascii="宋体" w:hAnsi="宋体"/>
                      <w:szCs w:val="21"/>
                      <w:highlight w:val="none"/>
                      <w:lang w:val="en-US" w:eastAsia="zh-CN"/>
                    </w:rPr>
                    <w:t>2</w:t>
                  </w:r>
                  <w:r>
                    <w:rPr>
                      <w:rFonts w:hint="eastAsia" w:ascii="宋体" w:hAnsi="宋体"/>
                      <w:szCs w:val="21"/>
                      <w:highlight w:val="none"/>
                    </w:rPr>
                    <w:t>.顾客满意率≥95%</w:t>
                  </w:r>
                </w:p>
              </w:tc>
              <w:tc>
                <w:tcPr>
                  <w:tcW w:w="1220"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3079" w:type="dxa"/>
                  <w:vAlign w:val="top"/>
                </w:tcPr>
                <w:p>
                  <w:pPr>
                    <w:rPr>
                      <w:color w:val="000000"/>
                      <w:szCs w:val="18"/>
                      <w:highlight w:val="none"/>
                    </w:rPr>
                  </w:pPr>
                  <w:r>
                    <w:rPr>
                      <w:rFonts w:hint="eastAsia" w:ascii="宋体" w:hAnsi="宋体"/>
                      <w:szCs w:val="21"/>
                      <w:highlight w:val="none"/>
                    </w:rPr>
                    <w:t>满意度实际得分÷应得总分</w:t>
                  </w:r>
                </w:p>
              </w:tc>
              <w:tc>
                <w:tcPr>
                  <w:tcW w:w="2150" w:type="dxa"/>
                </w:tcPr>
                <w:p>
                  <w:pPr>
                    <w:widowControl/>
                    <w:spacing w:before="40"/>
                    <w:jc w:val="left"/>
                    <w:rPr>
                      <w:color w:val="000000"/>
                      <w:szCs w:val="18"/>
                      <w:highlight w:val="none"/>
                    </w:rPr>
                  </w:pPr>
                  <w:r>
                    <w:rPr>
                      <w:rFonts w:hint="eastAsia" w:ascii="宋体" w:hAnsi="宋体"/>
                      <w:szCs w:val="21"/>
                      <w:highlight w:val="none"/>
                    </w:rPr>
                    <w:t xml:space="preserve"> 9</w:t>
                  </w:r>
                  <w:r>
                    <w:rPr>
                      <w:rFonts w:hint="eastAsia" w:ascii="宋体" w:hAnsi="宋体"/>
                      <w:szCs w:val="21"/>
                      <w:highlight w:val="none"/>
                      <w:lang w:val="en-US" w:eastAsia="zh-CN"/>
                    </w:rPr>
                    <w:t>8</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49" w:type="dxa"/>
                  <w:vAlign w:val="center"/>
                </w:tcPr>
                <w:p>
                  <w:pPr>
                    <w:spacing w:line="360" w:lineRule="auto"/>
                    <w:rPr>
                      <w:color w:val="000000"/>
                      <w:szCs w:val="18"/>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顾客投诉处理</w:t>
                  </w:r>
                  <w:r>
                    <w:rPr>
                      <w:rFonts w:hint="eastAsia" w:ascii="宋体" w:hAnsi="宋体"/>
                      <w:szCs w:val="21"/>
                      <w:highlight w:val="none"/>
                    </w:rPr>
                    <w:t>率100%</w:t>
                  </w:r>
                </w:p>
              </w:tc>
              <w:tc>
                <w:tcPr>
                  <w:tcW w:w="1220"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079" w:type="dxa"/>
                  <w:vAlign w:val="top"/>
                </w:tcPr>
                <w:p>
                  <w:pPr>
                    <w:rPr>
                      <w:color w:val="000000"/>
                      <w:szCs w:val="18"/>
                      <w:highlight w:val="none"/>
                    </w:rPr>
                  </w:pPr>
                  <w:r>
                    <w:rPr>
                      <w:rFonts w:hint="eastAsia" w:ascii="宋体" w:hAnsi="宋体"/>
                      <w:szCs w:val="21"/>
                      <w:highlight w:val="none"/>
                    </w:rPr>
                    <w:t>按时次数÷采购总数</w:t>
                  </w:r>
                </w:p>
              </w:tc>
              <w:tc>
                <w:tcPr>
                  <w:tcW w:w="2150" w:type="dxa"/>
                </w:tcPr>
                <w:p>
                  <w:pPr>
                    <w:widowControl/>
                    <w:spacing w:before="40"/>
                    <w:jc w:val="left"/>
                    <w:rPr>
                      <w:color w:val="000000"/>
                      <w:szCs w:val="18"/>
                      <w:highlight w:val="none"/>
                    </w:rPr>
                  </w:pPr>
                  <w:r>
                    <w:rPr>
                      <w:rFonts w:hint="eastAsia" w:ascii="宋体" w:hAnsi="宋体"/>
                      <w:szCs w:val="21"/>
                      <w:highlight w:val="none"/>
                    </w:rPr>
                    <w:t>100%</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color w:val="000000"/>
                <w:u w:val="single"/>
                <w:lang w:val="en-US" w:eastAsia="zh-CN"/>
              </w:rPr>
              <w:t>办公室、电话、电脑、打印机、扫描仪等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A3"/>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A3"/>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A3"/>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合格供方评审不规范，有在合格名单外实施采购的情况，开具了不符合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家具、灯具、地毯、厨具、窗帘、家居装饰用品的销售</w:t>
                  </w:r>
                </w:p>
              </w:tc>
              <w:tc>
                <w:tcPr>
                  <w:tcW w:w="3665" w:type="dxa"/>
                </w:tcPr>
                <w:p>
                  <w:pPr>
                    <w:shd w:val="clear" w:color="auto" w:fill="C7DAF1" w:themeFill="text2" w:themeFillTint="32"/>
                    <w:jc w:val="left"/>
                    <w:rPr>
                      <w:rFonts w:hint="default" w:eastAsia="宋体"/>
                      <w:lang w:val="en-US" w:eastAsia="zh-CN"/>
                    </w:rPr>
                  </w:pPr>
                  <w:r>
                    <w:rPr>
                      <w:rFonts w:hint="eastAsia"/>
                      <w:b w:val="0"/>
                      <w:bCs/>
                      <w:sz w:val="21"/>
                      <w:szCs w:val="21"/>
                      <w:u w:val="none"/>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高中学历、有销售工作经历、参加公司培训</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b w:val="0"/>
                <w:bCs/>
                <w:sz w:val="21"/>
                <w:szCs w:val="21"/>
                <w:u w:val="single"/>
                <w:lang w:val="en-US" w:eastAsia="zh-CN"/>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A3"/>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210" w:firstLineChars="100"/>
              <w:jc w:val="center"/>
              <w:rPr>
                <w:rFonts w:hint="eastAsia" w:ascii="宋体" w:hAnsi="宋体" w:cs="宋体"/>
                <w:b w:val="0"/>
                <w:bCs/>
                <w:sz w:val="21"/>
                <w:szCs w:val="21"/>
              </w:rPr>
            </w:pPr>
            <w:r>
              <w:rPr>
                <w:rFonts w:hint="eastAsia" w:ascii="宋体" w:hAnsi="宋体" w:cs="宋体"/>
                <w:b w:val="0"/>
                <w:bCs/>
                <w:sz w:val="21"/>
                <w:szCs w:val="21"/>
              </w:rPr>
              <w:t>以人为本，遵守法规；把握市场，客户满意，绿色环保，保障健康；持续改进，追求卓越。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办公室、电话、电脑、打印机、扫描仪、</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固废</w:t>
                  </w:r>
                  <w:r>
                    <w:rPr>
                      <w:rFonts w:hint="eastAsia"/>
                      <w:color w:val="000000" w:themeColor="text1"/>
                      <w:lang w:val="en-US" w:eastAsia="zh-CN"/>
                    </w:rPr>
                    <w:t>分类</w:t>
                  </w:r>
                  <w:r>
                    <w:rPr>
                      <w:rFonts w:hint="eastAsia"/>
                      <w:color w:val="000000" w:themeColor="text1"/>
                    </w:rPr>
                    <w:t>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w:t>
                  </w:r>
                  <w:r>
                    <w:rPr>
                      <w:rFonts w:hint="eastAsia"/>
                      <w:color w:val="000000" w:themeColor="text1"/>
                      <w:lang w:val="en-US" w:eastAsia="zh-CN"/>
                    </w:rPr>
                    <w:t>物业</w:t>
                  </w:r>
                  <w:r>
                    <w:rPr>
                      <w:rFonts w:hint="eastAsia"/>
                      <w:color w:val="000000" w:themeColor="text1"/>
                    </w:rPr>
                    <w:t>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w:t>
            </w:r>
            <w:r>
              <w:rPr>
                <w:rFonts w:hint="eastAsia"/>
              </w:rPr>
              <w:t xml:space="preserv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 xml:space="preserve">安全作业控制  </w:t>
            </w:r>
            <w:r>
              <w:rPr>
                <w:rFonts w:hint="eastAsia"/>
              </w:rPr>
              <w:sym w:font="Wingdings 2" w:char="00A3"/>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210" w:firstLineChars="100"/>
              <w:jc w:val="center"/>
              <w:rPr>
                <w:rFonts w:hint="eastAsia"/>
              </w:rPr>
            </w:pPr>
            <w:r>
              <w:rPr>
                <w:rFonts w:hint="eastAsia"/>
              </w:rPr>
              <w:t>最高管理者制定了文件化的职业健康安全管理体系方针：</w:t>
            </w:r>
          </w:p>
          <w:p>
            <w:pPr>
              <w:spacing w:line="360" w:lineRule="auto"/>
              <w:ind w:firstLine="210" w:firstLineChars="100"/>
              <w:jc w:val="center"/>
              <w:rPr>
                <w:b w:val="0"/>
                <w:bCs/>
                <w:color w:val="000000"/>
                <w:sz w:val="21"/>
                <w:szCs w:val="21"/>
              </w:rPr>
            </w:pPr>
            <w:r>
              <w:rPr>
                <w:rFonts w:hint="eastAsia" w:ascii="宋体" w:hAnsi="宋体" w:cs="宋体"/>
                <w:b w:val="0"/>
                <w:bCs/>
                <w:sz w:val="21"/>
                <w:szCs w:val="21"/>
              </w:rPr>
              <w:t>以人为本，遵守法规；把握市场，客户满意，绿色环保，保障健康；持续改进，追求卓越。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A3"/>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2022年3月26日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A3"/>
            </w:r>
            <w:r>
              <w:rPr>
                <w:rFonts w:hint="eastAsia"/>
              </w:rPr>
              <w:t xml:space="preserve">漏电保护  </w:t>
            </w:r>
            <w:r>
              <w:rPr>
                <w:rFonts w:hint="eastAsia"/>
              </w:rPr>
              <w:sym w:font="Wingdings 2" w:char="00A3"/>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触电</w:t>
            </w:r>
            <w:r>
              <w:rPr>
                <w:rFonts w:hint="eastAsia" w:ascii="Times New Roman" w:hAnsi="Times New Roman" w:cs="Times New Roman"/>
                <w:sz w:val="21"/>
                <w:szCs w:val="21"/>
                <w:lang w:eastAsia="zh-CN"/>
              </w:rPr>
              <w:t>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pStyle w:val="2"/>
              <w:rPr>
                <w:rFonts w:hint="default"/>
                <w:lang w:val="en-US"/>
              </w:rPr>
            </w:pPr>
            <w:r>
              <w:rPr>
                <w:rFonts w:hint="eastAsia" w:ascii="Times New Roman" w:hAnsi="Times New Roman" w:cs="Times New Roman"/>
                <w:sz w:val="21"/>
                <w:szCs w:val="21"/>
                <w:lang w:val="en-US" w:eastAsia="zh-CN"/>
              </w:rPr>
              <w:t>意外交通事故为0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color w:val="000000"/>
                <w:u w:val="single"/>
                <w:lang w:val="en-US" w:eastAsia="zh-CN"/>
              </w:rPr>
              <w:t>办公室、电话、电脑、打印机、扫描仪等</w:t>
            </w:r>
            <w:r>
              <w:rPr>
                <w:rFonts w:hint="eastAsia"/>
                <w:u w:val="single"/>
              </w:rPr>
              <w:t xml:space="preserve">                                </w:t>
            </w:r>
          </w:p>
          <w:p>
            <w:r>
              <w:rPr>
                <w:rFonts w:hint="eastAsia"/>
              </w:rPr>
              <w:t>主要安全装置有：</w:t>
            </w:r>
          </w:p>
          <w:p>
            <w:r>
              <w:rPr>
                <w:rFonts w:hint="eastAsia"/>
              </w:rPr>
              <w:sym w:font="Wingdings 2" w:char="00A3"/>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A3"/>
            </w:r>
            <w:r>
              <w:rPr>
                <w:rFonts w:hint="eastAsia"/>
              </w:rPr>
              <w:t xml:space="preserve">漏电开关 </w:t>
            </w:r>
            <w:r>
              <w:rPr>
                <w:rFonts w:hint="eastAsia" w:ascii="Wingdings" w:hAnsi="Wingdings"/>
              </w:rPr>
              <w:t>¨</w:t>
            </w:r>
            <w:r>
              <w:rPr>
                <w:rFonts w:hint="eastAsia"/>
              </w:rPr>
              <w:t xml:space="preserve">报警系统  </w:t>
            </w:r>
            <w:r>
              <w:rPr>
                <w:rFonts w:hint="eastAsia"/>
              </w:rPr>
              <w:sym w:font="Wingdings 2" w:char="0052"/>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A3"/>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A3"/>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意外交通事故</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default" w:eastAsia="宋体"/>
                      <w:lang w:val="en-US" w:eastAsia="zh-CN"/>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办公场所未配置消防设备，开具了不符合。</w:t>
            </w:r>
            <w:bookmarkStart w:id="34" w:name="_GoBack"/>
            <w:bookmarkEnd w:id="34"/>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2022.3.26对2名员工的体检报告，北京中医院</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8E62140"/>
    <w:rsid w:val="3CD04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19833</Words>
  <Characters>20808</Characters>
  <Lines>150</Lines>
  <Paragraphs>42</Paragraphs>
  <TotalTime>2</TotalTime>
  <ScaleCrop>false</ScaleCrop>
  <LinksUpToDate>false</LinksUpToDate>
  <CharactersWithSpaces>23973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2022-09-24T03:26:19Z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