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0380-2020-QEO-2022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重庆太湖锅炉股份有限公司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重庆太湖锅炉股份有限公司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重庆市长寿区齐心西路1号附1号厂房</w:t>
            </w:r>
            <w:bookmarkEnd w:id="6"/>
          </w:p>
        </w:tc>
        <w:tc>
          <w:tcPr>
            <w:tcW w:w="1242" w:type="dxa"/>
            <w:vMerge w:val="restart"/>
            <w:vAlign w:val="center"/>
          </w:tcPr>
          <w:p>
            <w:r>
              <w:rPr>
                <w:rFonts w:hint="eastAsia"/>
              </w:rPr>
              <w:t>邮编</w:t>
            </w:r>
          </w:p>
        </w:tc>
        <w:tc>
          <w:tcPr>
            <w:tcW w:w="1771" w:type="dxa"/>
          </w:tcPr>
          <w:p>
            <w:bookmarkStart w:id="7" w:name="注册邮编"/>
            <w:r>
              <w:t>400000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重庆市九龙坡区科园四路288号申继基会展国际写字楼7-5</w:t>
            </w:r>
            <w:bookmarkEnd w:id="8"/>
          </w:p>
        </w:tc>
        <w:tc>
          <w:tcPr>
            <w:tcW w:w="1242" w:type="dxa"/>
            <w:vMerge w:val="continue"/>
            <w:vAlign w:val="center"/>
          </w:tcPr>
          <w:p/>
        </w:tc>
        <w:tc>
          <w:tcPr>
            <w:tcW w:w="1771" w:type="dxa"/>
          </w:tcPr>
          <w:p>
            <w:bookmarkStart w:id="9" w:name="办公邮编"/>
            <w: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汪亚平</w:t>
            </w:r>
            <w:bookmarkEnd w:id="10"/>
          </w:p>
        </w:tc>
        <w:tc>
          <w:tcPr>
            <w:tcW w:w="1313" w:type="dxa"/>
            <w:vAlign w:val="center"/>
          </w:tcPr>
          <w:p>
            <w:r>
              <w:rPr>
                <w:rFonts w:hint="eastAsia"/>
              </w:rPr>
              <w:t>电话.</w:t>
            </w:r>
          </w:p>
        </w:tc>
        <w:tc>
          <w:tcPr>
            <w:tcW w:w="2180" w:type="dxa"/>
            <w:vAlign w:val="center"/>
          </w:tcPr>
          <w:p>
            <w:bookmarkStart w:id="11" w:name="联系人电话"/>
            <w:r>
              <w:t>023-68886256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汪立</w:t>
            </w:r>
            <w:bookmarkEnd w:id="13"/>
          </w:p>
        </w:tc>
        <w:tc>
          <w:tcPr>
            <w:tcW w:w="1313" w:type="dxa"/>
            <w:vAlign w:val="center"/>
          </w:tcPr>
          <w:p>
            <w:r>
              <w:rPr>
                <w:rFonts w:hint="eastAsia"/>
              </w:rPr>
              <w:t>管理者代表</w:t>
            </w:r>
          </w:p>
        </w:tc>
        <w:tc>
          <w:tcPr>
            <w:tcW w:w="2180" w:type="dxa"/>
          </w:tcPr>
          <w:p>
            <w:bookmarkStart w:id="14" w:name="管理者代表"/>
            <w:r>
              <w:t>汪亚平</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ascii="宋体" w:hAnsi="宋体" w:eastAsia="宋体" w:cs="宋体"/>
                <w:highlight w:val="none"/>
              </w:rPr>
              <w:t>■</w:t>
            </w:r>
            <w:r>
              <w:rPr>
                <w:rFonts w:hint="eastAsia"/>
                <w:highlight w:val="none"/>
              </w:rPr>
              <w:t>单班□双班□三班□其他</w:t>
            </w: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rPr>
              <w:t>市场需求－－合同评审－－合同签订－－采购产品－销售产品－－顾客验收。</w:t>
            </w:r>
          </w:p>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2022年09月22日 上午至2022年09月22日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vAlign w:val="top"/>
          </w:tcPr>
          <w:p>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rPr>
              <w:t>□GB/T 50430-2017</w:t>
            </w:r>
          </w:p>
          <w:p>
            <w:pPr>
              <w:rPr>
                <w:lang w:val="de-DE"/>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r>
              <w:rPr>
                <w:rFonts w:hint="eastAsia"/>
                <w:lang w:val="de-DE"/>
              </w:rPr>
              <w:t>■</w:t>
            </w:r>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pPr>
              <w:rPr>
                <w:rFonts w:ascii="Times New Roman" w:hAnsi="Times New Roman" w:eastAsia="宋体" w:cs="Times New Roman"/>
                <w:kern w:val="2"/>
                <w:sz w:val="21"/>
                <w:szCs w:val="24"/>
                <w:lang w:val="en-US" w:eastAsia="zh-CN" w:bidi="ar-SA"/>
              </w:rPr>
            </w:pP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pPr>
              <w:rPr>
                <w:rFonts w:ascii="Times New Roman" w:hAnsi="Times New Roman" w:eastAsia="宋体" w:cs="Times New Roman"/>
                <w:kern w:val="2"/>
                <w:sz w:val="21"/>
                <w:szCs w:val="24"/>
                <w:lang w:val="en-US" w:eastAsia="zh-CN" w:bidi="ar-SA"/>
              </w:rPr>
            </w:pP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rPr>
                <w:rFonts w:ascii="Times New Roman" w:hAnsi="Times New Roman" w:eastAsia="宋体" w:cs="Times New Roman"/>
                <w:kern w:val="2"/>
                <w:sz w:val="21"/>
                <w:szCs w:val="24"/>
                <w:lang w:val="en-US" w:eastAsia="zh-CN" w:bidi="ar-SA"/>
              </w:rPr>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0" w:name="二阶段勾选"/>
            <w:r>
              <w:rPr>
                <w:rFonts w:hint="eastAsia"/>
              </w:rPr>
              <w:t>□</w:t>
            </w:r>
            <w:bookmarkEnd w:id="20"/>
            <w:r>
              <w:rPr>
                <w:rFonts w:hint="eastAsia"/>
              </w:rPr>
              <w:t>初审二阶段</w:t>
            </w:r>
            <w:bookmarkStart w:id="21" w:name="监督勾选Add1"/>
            <w:r>
              <w:rPr>
                <w:rFonts w:hint="eastAsia"/>
              </w:rPr>
              <w:t>■</w:t>
            </w:r>
            <w:bookmarkEnd w:id="21"/>
            <w:r>
              <w:rPr>
                <w:rFonts w:hint="eastAsia"/>
              </w:rPr>
              <w:t>监督第</w:t>
            </w:r>
            <w:bookmarkStart w:id="22" w:name="监督次数"/>
            <w:r>
              <w:rPr>
                <w:rFonts w:hint="eastAsia"/>
              </w:rPr>
              <w:t>二</w:t>
            </w:r>
            <w:bookmarkEnd w:id="22"/>
            <w:r>
              <w:rPr>
                <w:rFonts w:hint="eastAsia"/>
              </w:rPr>
              <w:t>次监督审核</w:t>
            </w:r>
            <w:bookmarkStart w:id="23" w:name="再认证勾选"/>
            <w:r>
              <w:rPr>
                <w:rFonts w:hint="eastAsia"/>
              </w:rPr>
              <w:t>□</w:t>
            </w:r>
            <w:bookmarkEnd w:id="23"/>
            <w:r>
              <w:rPr>
                <w:rFonts w:hint="eastAsia"/>
              </w:rPr>
              <w:t>再认证</w:t>
            </w:r>
            <w:bookmarkStart w:id="24" w:name="扩项勾选Add1"/>
            <w:r>
              <w:rPr>
                <w:rFonts w:hint="eastAsia"/>
              </w:rPr>
              <w:t>□</w:t>
            </w:r>
            <w:bookmarkEnd w:id="24"/>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重庆市九龙坡区科园四路288号申继基会展国际写字楼7-5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5" w:name="审核范围"/>
            <w:r>
              <w:t>Q：锅炉、换热器、压力容器、水处理设备的销售</w:t>
            </w:r>
          </w:p>
          <w:p>
            <w:r>
              <w:t>E：锅炉、换热器、压力容器、水处理设备的销售所涉及场所的相关环境管理活动</w:t>
            </w:r>
          </w:p>
          <w:p>
            <w:r>
              <w:t>O：锅炉、换热器、压力容器、水处理设备的销售所涉及场所的相关职业健康安全管理活动</w:t>
            </w:r>
            <w:bookmarkEnd w:id="25"/>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6" w:name="专业代码"/>
            <w:r>
              <w:t>Q：29.10.07</w:t>
            </w:r>
          </w:p>
          <w:p>
            <w:r>
              <w:t>E：29.10.07</w:t>
            </w:r>
          </w:p>
          <w:p>
            <w:r>
              <w:t>O：29.10.07</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vAlign w:val="top"/>
          </w:tcPr>
          <w:p>
            <w:pPr>
              <w:rPr>
                <w:rFonts w:ascii="Times New Roman" w:hAnsi="Times New Roman" w:eastAsia="宋体" w:cs="Times New Roman"/>
                <w:color w:val="FF0000"/>
                <w:kern w:val="2"/>
                <w:sz w:val="21"/>
                <w:szCs w:val="24"/>
                <w:lang w:val="en-US" w:eastAsia="zh-CN" w:bidi="ar-SA"/>
              </w:rPr>
            </w:pPr>
            <w:r>
              <w:rPr>
                <w:rFonts w:hint="eastAsia" w:eastAsia="宋体"/>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pPr>
              <w:rPr>
                <w:rFonts w:ascii="Times New Roman" w:hAnsi="Times New Roman" w:eastAsia="宋体" w:cs="Times New Roman"/>
                <w:kern w:val="2"/>
                <w:sz w:val="21"/>
                <w:szCs w:val="24"/>
                <w:lang w:val="en-US" w:eastAsia="zh-CN" w:bidi="ar-SA"/>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2021年3月10日</w:t>
            </w:r>
          </w:p>
          <w:p/>
        </w:tc>
        <w:tc>
          <w:tcPr>
            <w:tcW w:w="1883" w:type="dxa"/>
            <w:vAlign w:val="center"/>
          </w:tcPr>
          <w:p>
            <w:r>
              <w:rPr>
                <w:rFonts w:hint="eastAsia"/>
              </w:rPr>
              <w:t>管理体系运行已超过3个月</w:t>
            </w:r>
          </w:p>
        </w:tc>
        <w:tc>
          <w:tcPr>
            <w:tcW w:w="3215" w:type="dxa"/>
            <w:vAlign w:val="center"/>
          </w:tcPr>
          <w:p>
            <w:pPr>
              <w:rPr>
                <w:rFonts w:ascii="Times New Roman" w:hAnsi="Times New Roman" w:eastAsia="宋体" w:cs="Times New Roman"/>
                <w:kern w:val="2"/>
                <w:sz w:val="21"/>
                <w:szCs w:val="24"/>
                <w:lang w:val="en-US" w:eastAsia="zh-CN" w:bidi="ar-SA"/>
              </w:rPr>
            </w:pP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eastAsia="宋体"/>
              </w:rPr>
              <w:t xml:space="preserve">2021年10月16日 </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ascii="Times New Roman" w:hAnsi="Times New Roman" w:eastAsia="宋体" w:cs="Times New Roman"/>
                <w:kern w:val="2"/>
                <w:sz w:val="21"/>
                <w:szCs w:val="24"/>
                <w:lang w:val="en-US" w:eastAsia="zh-CN" w:bidi="ar-SA"/>
              </w:rPr>
            </w:pPr>
            <w:r>
              <w:rPr>
                <w:rFonts w:hint="eastAsia"/>
              </w:rPr>
              <w:t>有效至2023年10月19日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526"/>
        <w:gridCol w:w="2022"/>
        <w:gridCol w:w="712"/>
        <w:gridCol w:w="1588"/>
        <w:gridCol w:w="172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526" w:type="dxa"/>
            <w:shd w:val="clear" w:color="auto" w:fill="F3F3F3"/>
            <w:tcMar>
              <w:left w:w="57" w:type="dxa"/>
              <w:right w:w="57" w:type="dxa"/>
            </w:tcMar>
          </w:tcPr>
          <w:p>
            <w:r>
              <w:rPr>
                <w:rFonts w:hint="eastAsia"/>
              </w:rPr>
              <w:t>组织名称及注册场所地址</w:t>
            </w:r>
          </w:p>
        </w:tc>
        <w:tc>
          <w:tcPr>
            <w:tcW w:w="2022" w:type="dxa"/>
            <w:shd w:val="clear" w:color="auto" w:fill="F3F3F3"/>
            <w:tcMar>
              <w:left w:w="57" w:type="dxa"/>
              <w:right w:w="57" w:type="dxa"/>
            </w:tcMar>
          </w:tcPr>
          <w:p>
            <w:r>
              <w:rPr>
                <w:rFonts w:hint="eastAsia"/>
              </w:rPr>
              <w:t>经营场所的地址</w:t>
            </w:r>
          </w:p>
          <w:p>
            <w:r>
              <w:rPr>
                <w:rFonts w:hint="eastAsia"/>
              </w:rPr>
              <w:t>（多现场和临时现场）</w:t>
            </w:r>
          </w:p>
        </w:tc>
        <w:tc>
          <w:tcPr>
            <w:tcW w:w="712" w:type="dxa"/>
            <w:shd w:val="clear" w:color="auto" w:fill="F3F3F3"/>
            <w:tcMar>
              <w:left w:w="57" w:type="dxa"/>
              <w:right w:w="57" w:type="dxa"/>
            </w:tcMar>
          </w:tcPr>
          <w:p>
            <w:r>
              <w:rPr>
                <w:rFonts w:hint="eastAsia"/>
              </w:rPr>
              <w:t>员工人数</w:t>
            </w:r>
          </w:p>
        </w:tc>
        <w:tc>
          <w:tcPr>
            <w:tcW w:w="1588" w:type="dxa"/>
            <w:shd w:val="clear" w:color="auto" w:fill="F3F3F3"/>
            <w:tcMar>
              <w:left w:w="57" w:type="dxa"/>
              <w:right w:w="57" w:type="dxa"/>
            </w:tcMar>
          </w:tcPr>
          <w:p>
            <w:r>
              <w:rPr>
                <w:rFonts w:hint="eastAsia"/>
              </w:rPr>
              <w:t>审核范围（产品和过程）</w:t>
            </w:r>
          </w:p>
          <w:p/>
          <w:p/>
        </w:tc>
        <w:tc>
          <w:tcPr>
            <w:tcW w:w="172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526" w:type="dxa"/>
            <w:vAlign w:val="top"/>
          </w:tcPr>
          <w:p>
            <w:pPr>
              <w:rPr>
                <w:rFonts w:ascii="Times New Roman" w:hAnsi="Times New Roman" w:eastAsia="宋体" w:cs="Times New Roman"/>
                <w:kern w:val="2"/>
                <w:sz w:val="21"/>
                <w:szCs w:val="24"/>
                <w:lang w:val="de-DE" w:eastAsia="ja-JP" w:bidi="ar-SA"/>
              </w:rPr>
            </w:pPr>
            <w:r>
              <w:rPr>
                <w:szCs w:val="21"/>
              </w:rPr>
              <w:t>重庆太湖锅炉股份有限公司</w:t>
            </w:r>
            <w:r>
              <w:rPr>
                <w:rFonts w:hint="eastAsia"/>
                <w:szCs w:val="21"/>
              </w:rPr>
              <w:t>/</w:t>
            </w:r>
            <w:r>
              <w:rPr>
                <w:rFonts w:asciiTheme="minorEastAsia" w:hAnsiTheme="minorEastAsia" w:eastAsiaTheme="minorEastAsia"/>
                <w:sz w:val="20"/>
              </w:rPr>
              <w:t>重庆市长寿区齐心西路1号附1号厂房</w:t>
            </w:r>
          </w:p>
        </w:tc>
        <w:tc>
          <w:tcPr>
            <w:tcW w:w="2022" w:type="dxa"/>
            <w:vAlign w:val="top"/>
          </w:tcPr>
          <w:p>
            <w:pPr>
              <w:rPr>
                <w:rFonts w:ascii="Times New Roman" w:hAnsi="Times New Roman" w:eastAsia="宋体" w:cs="Times New Roman"/>
                <w:kern w:val="2"/>
                <w:sz w:val="21"/>
                <w:szCs w:val="24"/>
                <w:lang w:val="de-DE" w:eastAsia="ja-JP" w:bidi="ar-SA"/>
              </w:rPr>
            </w:pPr>
            <w:r>
              <w:rPr>
                <w:rFonts w:asciiTheme="minorEastAsia" w:hAnsiTheme="minorEastAsia" w:eastAsiaTheme="minorEastAsia"/>
                <w:sz w:val="20"/>
              </w:rPr>
              <w:t>重庆市九龙坡区科园四路288号申继基会展国际写字楼7-5</w:t>
            </w:r>
          </w:p>
        </w:tc>
        <w:tc>
          <w:tcPr>
            <w:tcW w:w="712" w:type="dxa"/>
            <w:vAlign w:val="center"/>
          </w:tcPr>
          <w:p>
            <w:pPr>
              <w:rPr>
                <w:rFonts w:ascii="Times New Roman" w:hAnsi="Times New Roman" w:eastAsia="宋体" w:cs="Times New Roman"/>
                <w:kern w:val="2"/>
                <w:sz w:val="21"/>
                <w:szCs w:val="24"/>
                <w:lang w:val="en-US" w:eastAsia="ja-JP" w:bidi="ar-SA"/>
              </w:rPr>
            </w:pPr>
            <w:r>
              <w:rPr>
                <w:rFonts w:hint="eastAsia"/>
              </w:rPr>
              <w:t>25</w:t>
            </w:r>
          </w:p>
        </w:tc>
        <w:tc>
          <w:tcPr>
            <w:tcW w:w="1588" w:type="dxa"/>
            <w:vAlign w:val="center"/>
          </w:tcPr>
          <w:p>
            <w:pPr>
              <w:rPr>
                <w:rFonts w:ascii="Times New Roman" w:hAnsi="Times New Roman" w:eastAsia="宋体" w:cs="Times New Roman"/>
                <w:b w:val="0"/>
                <w:bCs w:val="0"/>
                <w:kern w:val="2"/>
                <w:sz w:val="21"/>
                <w:szCs w:val="24"/>
                <w:lang w:val="en-US" w:eastAsia="ja-JP" w:bidi="ar-SA"/>
              </w:rPr>
            </w:pPr>
            <w:r>
              <w:rPr>
                <w:b w:val="0"/>
                <w:bCs w:val="0"/>
                <w:sz w:val="20"/>
              </w:rPr>
              <w:t>锅炉、换热器、压力容器、水处理设备的销售</w:t>
            </w:r>
          </w:p>
        </w:tc>
        <w:tc>
          <w:tcPr>
            <w:tcW w:w="1729" w:type="dxa"/>
            <w:vAlign w:val="center"/>
          </w:tcPr>
          <w:p>
            <w:pPr>
              <w:rPr>
                <w:rFonts w:ascii="Times New Roman" w:hAnsi="Times New Roman" w:eastAsia="宋体" w:cs="Times New Roman"/>
                <w:b w:val="0"/>
                <w:bCs w:val="0"/>
                <w:kern w:val="2"/>
                <w:sz w:val="21"/>
                <w:szCs w:val="24"/>
                <w:lang w:val="en-US" w:eastAsia="ja-JP" w:bidi="ar-SA"/>
              </w:rPr>
            </w:pPr>
            <w:r>
              <w:rPr>
                <w:rFonts w:hint="eastAsia" w:ascii="宋体" w:hAnsi="宋体"/>
                <w:b w:val="0"/>
                <w:bCs w:val="0"/>
                <w:szCs w:val="21"/>
              </w:rPr>
              <w:t>GB/T19001-2016GB/T24001-2016GB/T45001-2020</w:t>
            </w:r>
          </w:p>
        </w:tc>
        <w:tc>
          <w:tcPr>
            <w:tcW w:w="668" w:type="dxa"/>
            <w:shd w:val="clear" w:color="auto" w:fill="FFFFFF"/>
            <w:vAlign w:val="top"/>
          </w:tcPr>
          <w:p>
            <w:pPr>
              <w:rPr>
                <w:rFonts w:ascii="Times New Roman" w:hAnsi="Times New Roman" w:eastAsia="宋体" w:cs="Times New Roman"/>
                <w:b w:val="0"/>
                <w:bCs w:val="0"/>
                <w:kern w:val="2"/>
                <w:sz w:val="21"/>
                <w:szCs w:val="24"/>
                <w:lang w:val="en-US" w:eastAsia="zh-CN" w:bidi="ar-SA"/>
              </w:rPr>
            </w:pPr>
            <w:r>
              <w:rPr>
                <w:rFonts w:hint="eastAsia"/>
                <w:b w:val="0"/>
                <w:bCs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526" w:type="dxa"/>
            <w:vAlign w:val="center"/>
          </w:tcPr>
          <w:p>
            <w:pPr>
              <w:rPr>
                <w:lang w:eastAsia="ja-JP"/>
              </w:rPr>
            </w:pPr>
          </w:p>
        </w:tc>
        <w:tc>
          <w:tcPr>
            <w:tcW w:w="2022" w:type="dxa"/>
            <w:vAlign w:val="center"/>
          </w:tcPr>
          <w:p>
            <w:pPr>
              <w:rPr>
                <w:lang w:eastAsia="ja-JP"/>
              </w:rPr>
            </w:pPr>
          </w:p>
        </w:tc>
        <w:tc>
          <w:tcPr>
            <w:tcW w:w="712" w:type="dxa"/>
            <w:vAlign w:val="center"/>
          </w:tcPr>
          <w:p>
            <w:pPr>
              <w:rPr>
                <w:lang w:eastAsia="ja-JP"/>
              </w:rPr>
            </w:pPr>
          </w:p>
        </w:tc>
        <w:tc>
          <w:tcPr>
            <w:tcW w:w="1588" w:type="dxa"/>
            <w:vAlign w:val="center"/>
          </w:tcPr>
          <w:p>
            <w:pPr>
              <w:rPr>
                <w:lang w:eastAsia="ja-JP"/>
              </w:rPr>
            </w:pPr>
          </w:p>
        </w:tc>
        <w:tc>
          <w:tcPr>
            <w:tcW w:w="172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526" w:type="dxa"/>
            <w:vAlign w:val="center"/>
          </w:tcPr>
          <w:p>
            <w:pPr>
              <w:rPr>
                <w:lang w:eastAsia="ja-JP"/>
              </w:rPr>
            </w:pPr>
          </w:p>
        </w:tc>
        <w:tc>
          <w:tcPr>
            <w:tcW w:w="2022" w:type="dxa"/>
            <w:vAlign w:val="center"/>
          </w:tcPr>
          <w:p>
            <w:pPr>
              <w:rPr>
                <w:lang w:eastAsia="ja-JP"/>
              </w:rPr>
            </w:pPr>
          </w:p>
        </w:tc>
        <w:tc>
          <w:tcPr>
            <w:tcW w:w="712" w:type="dxa"/>
            <w:vAlign w:val="center"/>
          </w:tcPr>
          <w:p>
            <w:pPr>
              <w:rPr>
                <w:lang w:eastAsia="ja-JP"/>
              </w:rPr>
            </w:pPr>
          </w:p>
        </w:tc>
        <w:tc>
          <w:tcPr>
            <w:tcW w:w="1588" w:type="dxa"/>
            <w:vAlign w:val="center"/>
          </w:tcPr>
          <w:p>
            <w:pPr>
              <w:rPr>
                <w:lang w:eastAsia="ja-JP"/>
              </w:rPr>
            </w:pPr>
          </w:p>
        </w:tc>
        <w:tc>
          <w:tcPr>
            <w:tcW w:w="172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04</w:t>
            </w:r>
          </w:p>
        </w:tc>
        <w:tc>
          <w:tcPr>
            <w:tcW w:w="2526" w:type="dxa"/>
            <w:vAlign w:val="center"/>
          </w:tcPr>
          <w:p>
            <w:pPr>
              <w:rPr>
                <w:lang w:eastAsia="ja-JP"/>
              </w:rPr>
            </w:pPr>
          </w:p>
        </w:tc>
        <w:tc>
          <w:tcPr>
            <w:tcW w:w="2022" w:type="dxa"/>
            <w:vAlign w:val="center"/>
          </w:tcPr>
          <w:p>
            <w:pPr>
              <w:rPr>
                <w:lang w:eastAsia="ja-JP"/>
              </w:rPr>
            </w:pPr>
          </w:p>
        </w:tc>
        <w:tc>
          <w:tcPr>
            <w:tcW w:w="712" w:type="dxa"/>
            <w:vAlign w:val="center"/>
          </w:tcPr>
          <w:p>
            <w:pPr>
              <w:rPr>
                <w:lang w:eastAsia="ja-JP"/>
              </w:rPr>
            </w:pPr>
          </w:p>
        </w:tc>
        <w:tc>
          <w:tcPr>
            <w:tcW w:w="1588" w:type="dxa"/>
            <w:vAlign w:val="center"/>
          </w:tcPr>
          <w:p>
            <w:pPr>
              <w:rPr>
                <w:lang w:eastAsia="ja-JP"/>
              </w:rPr>
            </w:pPr>
          </w:p>
        </w:tc>
        <w:tc>
          <w:tcPr>
            <w:tcW w:w="172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526" w:type="dxa"/>
            <w:vAlign w:val="center"/>
          </w:tcPr>
          <w:p>
            <w:pPr>
              <w:rPr>
                <w:lang w:eastAsia="ja-JP"/>
              </w:rPr>
            </w:pPr>
          </w:p>
        </w:tc>
        <w:tc>
          <w:tcPr>
            <w:tcW w:w="2022" w:type="dxa"/>
            <w:vAlign w:val="center"/>
          </w:tcPr>
          <w:p>
            <w:pPr>
              <w:rPr>
                <w:lang w:eastAsia="ja-JP"/>
              </w:rPr>
            </w:pPr>
          </w:p>
        </w:tc>
        <w:tc>
          <w:tcPr>
            <w:tcW w:w="712" w:type="dxa"/>
            <w:vAlign w:val="center"/>
          </w:tcPr>
          <w:p>
            <w:pPr>
              <w:rPr>
                <w:lang w:eastAsia="ja-JP"/>
              </w:rPr>
            </w:pPr>
          </w:p>
        </w:tc>
        <w:tc>
          <w:tcPr>
            <w:tcW w:w="1588" w:type="dxa"/>
            <w:vAlign w:val="center"/>
          </w:tcPr>
          <w:p>
            <w:pPr>
              <w:rPr>
                <w:lang w:eastAsia="ja-JP"/>
              </w:rPr>
            </w:pPr>
          </w:p>
        </w:tc>
        <w:tc>
          <w:tcPr>
            <w:tcW w:w="172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组长</w:t>
            </w:r>
          </w:p>
        </w:tc>
        <w:tc>
          <w:tcPr>
            <w:tcW w:w="711" w:type="dxa"/>
            <w:vAlign w:val="center"/>
          </w:tcPr>
          <w:p>
            <w:r>
              <w:t>女</w:t>
            </w:r>
          </w:p>
        </w:tc>
        <w:tc>
          <w:tcPr>
            <w:tcW w:w="3870" w:type="dxa"/>
            <w:vAlign w:val="center"/>
          </w:tcPr>
          <w:p>
            <w:r>
              <w:t>2020-N1QMS-1267598</w:t>
            </w:r>
          </w:p>
          <w:p>
            <w:r>
              <w:t>2020-N1EMS-1267598</w:t>
            </w:r>
          </w:p>
          <w:p>
            <w:r>
              <w:t>2021-N1OHSMS-1267598</w:t>
            </w:r>
          </w:p>
        </w:tc>
        <w:tc>
          <w:tcPr>
            <w:tcW w:w="2179" w:type="dxa"/>
            <w:vAlign w:val="center"/>
          </w:tcPr>
          <w:p>
            <w:r>
              <w:t>Q:29.10.07</w:t>
            </w:r>
          </w:p>
          <w:p>
            <w:r>
              <w:t>E:29.10.07</w:t>
            </w:r>
          </w:p>
          <w:p>
            <w:r>
              <w:t>O:29.10.07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r>
              <w:t>Q:29.10.07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杨珍全</w:t>
            </w:r>
          </w:p>
        </w:tc>
        <w:tc>
          <w:tcPr>
            <w:tcW w:w="1089" w:type="dxa"/>
            <w:vAlign w:val="center"/>
          </w:tcPr>
          <w:p>
            <w:r>
              <w:t>组员</w:t>
            </w:r>
          </w:p>
        </w:tc>
        <w:tc>
          <w:tcPr>
            <w:tcW w:w="711" w:type="dxa"/>
            <w:vAlign w:val="center"/>
          </w:tcPr>
          <w:p>
            <w:r>
              <w:t>男</w:t>
            </w:r>
          </w:p>
        </w:tc>
        <w:tc>
          <w:tcPr>
            <w:tcW w:w="3870" w:type="dxa"/>
            <w:vAlign w:val="center"/>
          </w:tcPr>
          <w:p>
            <w:r>
              <w:t>2021-N1QMS-2230067</w:t>
            </w:r>
          </w:p>
          <w:p>
            <w:r>
              <w:t>2021-N1EMS-2230067</w:t>
            </w:r>
          </w:p>
          <w:p>
            <w:r>
              <w:t>2021-N1OHSMS-2230067</w:t>
            </w:r>
          </w:p>
        </w:tc>
        <w:tc>
          <w:tcPr>
            <w:tcW w:w="2179" w:type="dxa"/>
            <w:vAlign w:val="center"/>
          </w:tcPr>
          <w:p>
            <w:r>
              <w:t>Q:29.10.07</w:t>
            </w:r>
          </w:p>
          <w:p>
            <w:r>
              <w:t>E:29.10.07</w:t>
            </w:r>
          </w:p>
          <w:p>
            <w:r>
              <w:t>O:29.10.07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default" w:eastAsia="宋体"/>
                <w:lang w:val="en-US" w:eastAsia="zh-CN"/>
              </w:rPr>
            </w:pPr>
            <w:r>
              <w:rPr>
                <w:rFonts w:hint="eastAsia" w:eastAsia="宋体"/>
                <w:lang w:val="en-US" w:eastAsia="zh-CN"/>
              </w:rPr>
              <w:t>地址变更，原地址：重庆市永川区星光大道999号1幢(重庆永川工业园区凤凰湖工业园内)，变更为：重庆市长寿区齐心西路1号附1号厂房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ascii="宋体" w:hAnsi="宋体" w:eastAsia="宋体" w:cs="宋体"/>
              </w:rPr>
              <w:t>■</w:t>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b w:val="0"/>
                <w:bCs w:val="0"/>
                <w:color w:val="auto"/>
                <w:sz w:val="21"/>
                <w:szCs w:val="20"/>
                <w:highlight w:val="none"/>
              </w:rPr>
              <w:t>上次不符合涉及综合部</w:t>
            </w:r>
            <w:r>
              <w:rPr>
                <w:rFonts w:hint="eastAsia"/>
                <w:b w:val="0"/>
                <w:bCs w:val="0"/>
                <w:color w:val="auto"/>
                <w:sz w:val="21"/>
                <w:szCs w:val="20"/>
                <w:highlight w:val="none"/>
                <w:lang w:eastAsia="zh-CN"/>
              </w:rPr>
              <w:t>QEO</w:t>
            </w:r>
            <w:r>
              <w:rPr>
                <w:rFonts w:hint="eastAsia"/>
                <w:b w:val="0"/>
                <w:bCs w:val="0"/>
                <w:color w:val="auto"/>
                <w:sz w:val="21"/>
                <w:szCs w:val="20"/>
                <w:highlight w:val="none"/>
              </w:rPr>
              <w:t>7.5.3条款，企业已整改关闭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rPr>
              <w:t>所有被抽样到的、被评审过的工作记录都是真实的。</w:t>
            </w:r>
          </w:p>
          <w:p>
            <w:pPr>
              <w:rPr>
                <w:rFonts w:ascii="Times New Roman" w:hAnsi="Times New Roman" w:eastAsia="宋体" w:cs="Times New Roman"/>
                <w:kern w:val="2"/>
                <w:sz w:val="21"/>
                <w:szCs w:val="24"/>
                <w:lang w:val="en-GB" w:eastAsia="zh-CN" w:bidi="ar-SA"/>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GB" w:eastAsia="zh-CN" w:bidi="ar-SA"/>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ascii="宋体" w:hAnsi="宋体" w:eastAsia="宋体" w:cs="宋体"/>
        </w:rPr>
        <w:t>■</w:t>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ascii="宋体" w:hAnsi="宋体" w:eastAsia="宋体" w:cs="宋体"/>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7" w:name="Q勾选Add2"/>
            <w:r>
              <w:rPr>
                <w:rFonts w:hint="eastAsia"/>
              </w:rPr>
              <w:t>■</w:t>
            </w:r>
            <w:bookmarkEnd w:id="27"/>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8" w:name="E勾选Add2"/>
            <w:r>
              <w:rPr>
                <w:rFonts w:hint="eastAsia"/>
              </w:rPr>
              <w:t>■</w:t>
            </w:r>
            <w:bookmarkEnd w:id="28"/>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S勾选Add2"/>
            <w:r>
              <w:rPr>
                <w:rFonts w:hint="eastAsia"/>
              </w:rPr>
              <w:t>■</w:t>
            </w:r>
            <w:bookmarkEnd w:id="29"/>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vAlign w:val="top"/>
          </w:tcPr>
          <w:p>
            <w:pPr>
              <w:rPr>
                <w:rFonts w:ascii="Times New Roman" w:hAnsi="Times New Roman" w:eastAsia="宋体" w:cs="Times New Roman"/>
                <w:kern w:val="2"/>
                <w:sz w:val="21"/>
                <w:szCs w:val="24"/>
                <w:lang w:val="en-US" w:eastAsia="zh-CN" w:bidi="ar-SA"/>
              </w:rPr>
            </w:pPr>
            <w:r>
              <w:rPr>
                <w:sz w:val="20"/>
              </w:rPr>
              <w:t>锅炉、换热器、压力容器、水处理设备的销售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vAlign w:val="top"/>
          </w:tcPr>
          <w:p>
            <w:pPr>
              <w:rPr>
                <w:rFonts w:ascii="Times New Roman" w:hAnsi="Times New Roman" w:eastAsia="宋体" w:cs="Times New Roman"/>
                <w:kern w:val="2"/>
                <w:sz w:val="21"/>
                <w:szCs w:val="24"/>
                <w:lang w:val="en-US" w:eastAsia="zh-CN" w:bidi="ar-SA"/>
              </w:rPr>
            </w:pPr>
            <w:r>
              <w:rPr>
                <w:sz w:val="20"/>
              </w:rPr>
              <w:t>锅炉、换热器、压力容器、水处理设备的销售所涉及场所的相关环境管理活动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vAlign w:val="top"/>
          </w:tcPr>
          <w:p>
            <w:pPr>
              <w:rPr>
                <w:rFonts w:ascii="Times New Roman" w:hAnsi="Times New Roman" w:eastAsia="宋体" w:cs="Times New Roman"/>
                <w:kern w:val="2"/>
                <w:sz w:val="21"/>
                <w:szCs w:val="24"/>
                <w:lang w:val="en-US" w:eastAsia="zh-CN" w:bidi="ar-SA"/>
              </w:rPr>
            </w:pPr>
            <w:r>
              <w:rPr>
                <w:sz w:val="20"/>
              </w:rPr>
              <w:t>锅炉、换热器、压力容器、水处理设备的销售所涉及场所的相关职业健康安全管理活动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在完成纠正措施后推荐保持认证注册(</w:t>
            </w:r>
            <w:r>
              <w:rPr>
                <w:rFonts w:hint="eastAsia" w:ascii="宋体" w:hAnsi="宋体" w:eastAsia="宋体" w:cs="宋体"/>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lang w:val="en-US" w:eastAsia="zh-CN"/>
              </w:rPr>
              <w:drawing>
                <wp:anchor distT="0" distB="0" distL="114300" distR="114300" simplePos="0" relativeHeight="251661312" behindDoc="0" locked="0" layoutInCell="1" allowOverlap="1">
                  <wp:simplePos x="0" y="0"/>
                  <wp:positionH relativeFrom="column">
                    <wp:posOffset>262255</wp:posOffset>
                  </wp:positionH>
                  <wp:positionV relativeFrom="paragraph">
                    <wp:posOffset>10795</wp:posOffset>
                  </wp:positionV>
                  <wp:extent cx="696595" cy="351155"/>
                  <wp:effectExtent l="0" t="0" r="1905" b="4445"/>
                  <wp:wrapNone/>
                  <wp:docPr id="1"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片2"/>
                          <pic:cNvPicPr>
                            <a:picLocks noChangeAspect="1"/>
                          </pic:cNvPicPr>
                        </pic:nvPicPr>
                        <pic:blipFill>
                          <a:blip r:embed="rId6"/>
                          <a:stretch>
                            <a:fillRect/>
                          </a:stretch>
                        </pic:blipFill>
                        <pic:spPr>
                          <a:xfrm>
                            <a:off x="0" y="0"/>
                            <a:ext cx="696595" cy="35115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r>
              <w:rPr>
                <w:rFonts w:hint="eastAsia" w:ascii="宋体" w:hAnsi="宋体" w:cs="宋体"/>
                <w:sz w:val="24"/>
              </w:rPr>
              <w:t>2022年09月22日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highlight w:val="none"/>
          <w:shd w:val="clear" w:color="FFFFFF" w:fill="D9D9D9"/>
        </w:rPr>
      </w:pPr>
      <w:r>
        <w:rPr>
          <w:shd w:val="clear" w:color="FFFFFF" w:fill="D9D9D9"/>
        </w:rPr>
        <w:t>附</w:t>
      </w:r>
      <w:r>
        <w:rPr>
          <w:highlight w:val="none"/>
          <w:shd w:val="clear" w:color="FFFFFF" w:fill="D9D9D9"/>
        </w:rPr>
        <w:t>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rPr>
                <w:highlight w:val="none"/>
              </w:rPr>
            </w:pPr>
            <w:r>
              <w:rPr>
                <w:rFonts w:hint="eastAsia"/>
                <w:highlight w:val="none"/>
              </w:rPr>
              <w:t>审核周期</w:t>
            </w: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□QMS体系建立以来</w:t>
            </w:r>
            <w:r>
              <w:rPr>
                <w:rFonts w:hint="eastAsia" w:ascii="黑体" w:hAnsi="黑体" w:eastAsia="黑体" w:cs="黑体"/>
                <w:highlight w:val="none"/>
              </w:rPr>
              <w:t>■</w:t>
            </w:r>
            <w:r>
              <w:rPr>
                <w:rFonts w:hint="eastAsia"/>
                <w:highlight w:val="none"/>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rPr>
                <w:highlight w:val="none"/>
              </w:rPr>
            </w:pPr>
            <w:r>
              <w:rPr>
                <w:rFonts w:hint="eastAsia"/>
                <w:highlight w:val="none"/>
              </w:rPr>
              <w:t>体系要素</w:t>
            </w: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rPr>
                <w:highlight w:val="none"/>
              </w:rPr>
            </w:pPr>
            <w:r>
              <w:rPr>
                <w:rFonts w:hint="eastAsia"/>
                <w:highlight w:val="none"/>
              </w:rPr>
              <w:t>组织环境</w:t>
            </w: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rPr>
                      <w:highlight w:val="none"/>
                    </w:rPr>
                  </w:pPr>
                </w:p>
              </w:tc>
              <w:tc>
                <w:tcPr>
                  <w:tcW w:w="7375" w:type="dxa"/>
                </w:tcPr>
                <w:p>
                  <w:pPr>
                    <w:shd w:val="clear" w:color="auto" w:fill="C7DAF1" w:themeFill="text2" w:themeFillTint="32"/>
                    <w:ind w:firstLine="420" w:firstLineChars="200"/>
                    <w:rPr>
                      <w:highlight w:val="none"/>
                    </w:rPr>
                  </w:pPr>
                  <w:r>
                    <w:rPr>
                      <w:rFonts w:hint="eastAsia"/>
                      <w:highlight w:val="none"/>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rPr>
                      <w:highlight w:val="none"/>
                    </w:rPr>
                  </w:pPr>
                  <w:r>
                    <w:rPr>
                      <w:rFonts w:hint="eastAsia"/>
                      <w:highlight w:val="none"/>
                    </w:rPr>
                    <w:t>外部环境</w:t>
                  </w:r>
                </w:p>
              </w:tc>
              <w:tc>
                <w:tcPr>
                  <w:tcW w:w="7375" w:type="dxa"/>
                </w:tcPr>
                <w:p>
                  <w:pPr>
                    <w:shd w:val="clear" w:color="auto" w:fill="C7DAF1" w:themeFill="text2" w:themeFillTint="32"/>
                    <w:rPr>
                      <w:highlight w:val="none"/>
                    </w:rPr>
                  </w:pPr>
                  <w:r>
                    <w:rPr>
                      <w:rFonts w:hint="eastAsia" w:ascii="黑体" w:hAnsi="黑体" w:eastAsia="黑体" w:cs="黑体"/>
                      <w:highlight w:val="none"/>
                    </w:rPr>
                    <w:t>■</w:t>
                  </w:r>
                  <w:r>
                    <w:rPr>
                      <w:rFonts w:hint="eastAsia"/>
                      <w:highlight w:val="none"/>
                    </w:rPr>
                    <w:t>法律法规</w:t>
                  </w:r>
                  <w:r>
                    <w:rPr>
                      <w:rFonts w:hint="eastAsia" w:ascii="黑体" w:hAnsi="黑体" w:eastAsia="黑体" w:cs="黑体"/>
                      <w:highlight w:val="none"/>
                    </w:rPr>
                    <w:t>■</w:t>
                  </w:r>
                  <w:r>
                    <w:rPr>
                      <w:rFonts w:hint="eastAsia"/>
                      <w:highlight w:val="none"/>
                    </w:rPr>
                    <w:t>技术□竞争□市场□文化□社会</w:t>
                  </w:r>
                  <w:r>
                    <w:rPr>
                      <w:rFonts w:hint="eastAsia" w:ascii="黑体" w:hAnsi="黑体" w:eastAsia="黑体" w:cs="黑体"/>
                      <w:highlight w:val="none"/>
                    </w:rPr>
                    <w:t>■</w:t>
                  </w:r>
                  <w:r>
                    <w:rPr>
                      <w:rFonts w:hint="eastAsia"/>
                      <w:highlight w:val="none"/>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rPr>
                      <w:highlight w:val="none"/>
                    </w:rPr>
                  </w:pPr>
                  <w:r>
                    <w:rPr>
                      <w:rFonts w:hint="eastAsia"/>
                      <w:highlight w:val="none"/>
                    </w:rPr>
                    <w:t>内部环境</w:t>
                  </w:r>
                </w:p>
              </w:tc>
              <w:tc>
                <w:tcPr>
                  <w:tcW w:w="7375" w:type="dxa"/>
                </w:tcPr>
                <w:p>
                  <w:pPr>
                    <w:shd w:val="clear" w:color="auto" w:fill="C7DAF1" w:themeFill="text2" w:themeFillTint="32"/>
                    <w:rPr>
                      <w:highlight w:val="none"/>
                    </w:rPr>
                  </w:pPr>
                  <w:r>
                    <w:rPr>
                      <w:rFonts w:hint="eastAsia" w:ascii="黑体" w:hAnsi="黑体" w:eastAsia="黑体" w:cs="黑体"/>
                      <w:highlight w:val="none"/>
                    </w:rPr>
                    <w:t>■</w:t>
                  </w:r>
                  <w:r>
                    <w:rPr>
                      <w:rFonts w:hint="eastAsia"/>
                      <w:highlight w:val="none"/>
                    </w:rPr>
                    <w:t>价值观□文化□知识□绩效</w:t>
                  </w:r>
                  <w:r>
                    <w:rPr>
                      <w:rFonts w:hint="eastAsia" w:ascii="黑体" w:hAnsi="黑体" w:eastAsia="黑体" w:cs="黑体"/>
                      <w:highlight w:val="none"/>
                    </w:rPr>
                    <w:t>■</w:t>
                  </w:r>
                  <w:r>
                    <w:rPr>
                      <w:rFonts w:hint="eastAsia"/>
                      <w:highlight w:val="none"/>
                    </w:rPr>
                    <w:t>工艺</w:t>
                  </w:r>
                  <w:r>
                    <w:rPr>
                      <w:rFonts w:hint="eastAsia" w:ascii="黑体" w:hAnsi="黑体" w:eastAsia="黑体" w:cs="黑体"/>
                      <w:highlight w:val="none"/>
                    </w:rPr>
                    <w:t>■</w:t>
                  </w:r>
                  <w:r>
                    <w:rPr>
                      <w:rFonts w:hint="eastAsia"/>
                      <w:highlight w:val="none"/>
                    </w:rPr>
                    <w:t>设备</w:t>
                  </w:r>
                  <w:r>
                    <w:rPr>
                      <w:rFonts w:hint="eastAsia" w:ascii="黑体" w:hAnsi="黑体" w:eastAsia="黑体" w:cs="黑体"/>
                      <w:highlight w:val="none"/>
                    </w:rPr>
                    <w:t>■</w:t>
                  </w:r>
                  <w:r>
                    <w:rPr>
                      <w:rFonts w:hint="eastAsia"/>
                      <w:highlight w:val="none"/>
                    </w:rPr>
                    <w:t>人员能力□其他</w:t>
                  </w:r>
                </w:p>
              </w:tc>
            </w:tr>
          </w:tbl>
          <w:p>
            <w:pPr>
              <w:shd w:val="clear" w:color="auto" w:fill="C7DAF1" w:themeFill="text2"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none"/>
                    </w:rPr>
                  </w:pPr>
                  <w:r>
                    <w:rPr>
                      <w:rFonts w:hint="eastAsia"/>
                      <w:highlight w:val="none"/>
                    </w:rPr>
                    <w:t>重要的相关方</w:t>
                  </w:r>
                </w:p>
              </w:tc>
              <w:tc>
                <w:tcPr>
                  <w:tcW w:w="6912" w:type="dxa"/>
                </w:tcPr>
                <w:p>
                  <w:pPr>
                    <w:shd w:val="clear" w:color="auto" w:fill="C7DAF1" w:themeFill="text2" w:themeFillTint="32"/>
                    <w:rPr>
                      <w:highlight w:val="none"/>
                    </w:rPr>
                  </w:pPr>
                  <w:r>
                    <w:rPr>
                      <w:rFonts w:hint="eastAsia"/>
                      <w:highlight w:val="none"/>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none"/>
                    </w:rPr>
                  </w:pPr>
                  <w:r>
                    <w:rPr>
                      <w:rFonts w:hint="eastAsia" w:ascii="黑体" w:hAnsi="黑体" w:eastAsia="黑体" w:cs="黑体"/>
                      <w:highlight w:val="none"/>
                    </w:rPr>
                    <w:t>■</w:t>
                  </w:r>
                  <w:r>
                    <w:rPr>
                      <w:rFonts w:hint="eastAsia"/>
                      <w:highlight w:val="none"/>
                    </w:rPr>
                    <w:t>主管部门</w:t>
                  </w:r>
                </w:p>
              </w:tc>
              <w:tc>
                <w:tcPr>
                  <w:tcW w:w="6912" w:type="dxa"/>
                </w:tcPr>
                <w:p>
                  <w:pPr>
                    <w:shd w:val="clear" w:color="auto" w:fill="C7DAF1" w:themeFill="text2" w:themeFillTint="32"/>
                    <w:rPr>
                      <w:highlight w:val="none"/>
                    </w:rPr>
                  </w:pPr>
                  <w:r>
                    <w:rPr>
                      <w:rFonts w:hint="eastAsia"/>
                      <w:highlight w:val="none"/>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none"/>
                    </w:rPr>
                  </w:pPr>
                  <w:r>
                    <w:rPr>
                      <w:rFonts w:hint="eastAsia" w:ascii="黑体" w:hAnsi="黑体" w:eastAsia="黑体" w:cs="黑体"/>
                      <w:highlight w:val="none"/>
                    </w:rPr>
                    <w:t>■</w:t>
                  </w:r>
                  <w:r>
                    <w:rPr>
                      <w:rFonts w:hint="eastAsia"/>
                      <w:highlight w:val="none"/>
                    </w:rPr>
                    <w:t>供方</w:t>
                  </w:r>
                </w:p>
              </w:tc>
              <w:tc>
                <w:tcPr>
                  <w:tcW w:w="6912" w:type="dxa"/>
                </w:tcPr>
                <w:p>
                  <w:pPr>
                    <w:shd w:val="clear" w:color="auto" w:fill="C7DAF1" w:themeFill="text2" w:themeFillTint="32"/>
                    <w:rPr>
                      <w:highlight w:val="none"/>
                    </w:rPr>
                  </w:pPr>
                  <w:r>
                    <w:rPr>
                      <w:rFonts w:hint="eastAsia"/>
                      <w:highlight w:val="none"/>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none"/>
                    </w:rPr>
                  </w:pPr>
                  <w:r>
                    <w:rPr>
                      <w:rFonts w:hint="eastAsia" w:ascii="黑体" w:hAnsi="黑体" w:eastAsia="黑体" w:cs="黑体"/>
                      <w:highlight w:val="none"/>
                    </w:rPr>
                    <w:t>■</w:t>
                  </w:r>
                  <w:r>
                    <w:rPr>
                      <w:rFonts w:hint="eastAsia"/>
                      <w:highlight w:val="none"/>
                    </w:rPr>
                    <w:t>顾客</w:t>
                  </w:r>
                </w:p>
              </w:tc>
              <w:tc>
                <w:tcPr>
                  <w:tcW w:w="6912" w:type="dxa"/>
                </w:tcPr>
                <w:p>
                  <w:pPr>
                    <w:shd w:val="clear" w:color="auto" w:fill="C7DAF1" w:themeFill="text2" w:themeFillTint="32"/>
                    <w:rPr>
                      <w:highlight w:val="none"/>
                    </w:rPr>
                  </w:pPr>
                  <w:r>
                    <w:rPr>
                      <w:rFonts w:hint="eastAsia"/>
                      <w:highlight w:val="none"/>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none"/>
                    </w:rPr>
                  </w:pPr>
                  <w:r>
                    <w:rPr>
                      <w:rFonts w:hint="eastAsia"/>
                      <w:highlight w:val="none"/>
                    </w:rPr>
                    <w:t>■消费者</w:t>
                  </w:r>
                </w:p>
              </w:tc>
              <w:tc>
                <w:tcPr>
                  <w:tcW w:w="6912" w:type="dxa"/>
                </w:tcPr>
                <w:p>
                  <w:pPr>
                    <w:shd w:val="clear" w:color="auto" w:fill="C7DAF1" w:themeFill="text2" w:themeFillTint="32"/>
                    <w:rPr>
                      <w:highlight w:val="none"/>
                    </w:rPr>
                  </w:pPr>
                  <w:r>
                    <w:rPr>
                      <w:rFonts w:hint="eastAsia"/>
                      <w:highlight w:val="none"/>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none"/>
                    </w:rPr>
                  </w:pPr>
                  <w:r>
                    <w:rPr>
                      <w:rFonts w:hint="eastAsia" w:ascii="黑体" w:hAnsi="黑体" w:eastAsia="黑体" w:cs="黑体"/>
                      <w:highlight w:val="none"/>
                    </w:rPr>
                    <w:t>■</w:t>
                  </w:r>
                  <w:r>
                    <w:rPr>
                      <w:rFonts w:hint="eastAsia"/>
                      <w:highlight w:val="none"/>
                    </w:rPr>
                    <w:t>员工</w:t>
                  </w:r>
                </w:p>
              </w:tc>
              <w:tc>
                <w:tcPr>
                  <w:tcW w:w="6912" w:type="dxa"/>
                </w:tcPr>
                <w:p>
                  <w:pPr>
                    <w:shd w:val="clear" w:color="auto" w:fill="C7DAF1" w:themeFill="text2" w:themeFillTint="32"/>
                    <w:rPr>
                      <w:highlight w:val="none"/>
                    </w:rPr>
                  </w:pPr>
                  <w:r>
                    <w:rPr>
                      <w:rFonts w:hint="eastAsia"/>
                      <w:highlight w:val="none"/>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none"/>
                    </w:rPr>
                  </w:pPr>
                  <w:r>
                    <w:rPr>
                      <w:rFonts w:hint="eastAsia"/>
                      <w:highlight w:val="none"/>
                    </w:rPr>
                    <w:t>□投资方</w:t>
                  </w:r>
                </w:p>
              </w:tc>
              <w:tc>
                <w:tcPr>
                  <w:tcW w:w="6912" w:type="dxa"/>
                </w:tcPr>
                <w:p>
                  <w:pPr>
                    <w:shd w:val="clear" w:color="auto" w:fill="C7DAF1" w:themeFill="text2" w:themeFillTint="32"/>
                    <w:rPr>
                      <w:highlight w:val="none"/>
                    </w:rPr>
                  </w:pPr>
                  <w:r>
                    <w:rPr>
                      <w:rFonts w:hint="eastAsia"/>
                      <w:highlight w:val="none"/>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none"/>
                    </w:rPr>
                  </w:pPr>
                  <w:r>
                    <w:rPr>
                      <w:rFonts w:hint="eastAsia"/>
                      <w:highlight w:val="none"/>
                    </w:rPr>
                    <w:t>□其他</w:t>
                  </w:r>
                </w:p>
              </w:tc>
              <w:tc>
                <w:tcPr>
                  <w:tcW w:w="6912" w:type="dxa"/>
                </w:tcPr>
                <w:p>
                  <w:pPr>
                    <w:shd w:val="clear" w:color="auto" w:fill="C7DAF1" w:themeFill="text2" w:themeFillTint="32"/>
                    <w:rPr>
                      <w:highlight w:val="none"/>
                    </w:rPr>
                  </w:pPr>
                </w:p>
              </w:tc>
            </w:tr>
          </w:tbl>
          <w:p>
            <w:pPr>
              <w:shd w:val="clear" w:color="auto" w:fill="C7DAF1" w:themeFill="text2"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highlight w:val="none"/>
              </w:rPr>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组织应明确相关管理体系的范围；（详见第一条款审核范围）</w:t>
            </w:r>
          </w:p>
          <w:p>
            <w:pPr>
              <w:shd w:val="clear" w:color="auto" w:fill="C7DAF1" w:themeFill="text2" w:themeFillTint="32"/>
              <w:rPr>
                <w:highlight w:val="none"/>
              </w:rPr>
            </w:pPr>
            <w:r>
              <w:rPr>
                <w:rFonts w:hint="eastAsia"/>
                <w:highlight w:val="none"/>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w:t>
            </w:r>
            <w:r>
              <w:rPr>
                <w:rFonts w:hint="eastAsia" w:ascii="黑体" w:hAnsi="黑体" w:eastAsia="黑体" w:cs="黑体"/>
              </w:rPr>
              <w:t>■</w:t>
            </w:r>
            <w:r>
              <w:rPr>
                <w:rFonts w:hint="eastAsia"/>
              </w:rPr>
              <w:t>设备能力</w:t>
            </w:r>
            <w:r>
              <w:rPr>
                <w:rFonts w:hint="eastAsia" w:ascii="黑体" w:hAnsi="黑体" w:eastAsia="黑体" w:cs="黑体"/>
              </w:rPr>
              <w:t>■</w:t>
            </w:r>
            <w:r>
              <w:rPr>
                <w:rFonts w:hint="eastAsia"/>
              </w:rPr>
              <w:t>人员能力□检测水平</w:t>
            </w:r>
            <w:r>
              <w:rPr>
                <w:rFonts w:hint="eastAsia" w:ascii="黑体" w:hAnsi="黑体" w:eastAsia="黑体" w:cs="黑体"/>
              </w:rPr>
              <w:t>■</w:t>
            </w:r>
            <w:r>
              <w:rPr>
                <w:rFonts w:hint="eastAsia"/>
              </w:rPr>
              <w:t>合同评审□知识保密</w:t>
            </w:r>
          </w:p>
          <w:p>
            <w:pPr>
              <w:shd w:val="clear" w:color="auto" w:fill="C7DAF1" w:themeFill="text2" w:themeFillTint="32"/>
              <w:spacing w:before="40" w:after="40"/>
            </w:pPr>
            <w:r>
              <w:rPr>
                <w:rFonts w:hint="eastAsia"/>
              </w:rPr>
              <w:t>□新产品设计开发□原材料采购</w:t>
            </w:r>
            <w:r>
              <w:rPr>
                <w:rFonts w:hint="eastAsia" w:ascii="黑体" w:hAnsi="黑体" w:eastAsia="黑体" w:cs="黑体"/>
              </w:rPr>
              <w:t>■</w:t>
            </w:r>
            <w:r>
              <w:rPr>
                <w:rFonts w:hint="eastAsia"/>
              </w:rPr>
              <w:t>外部供方控制</w:t>
            </w:r>
            <w:r>
              <w:rPr>
                <w:rFonts w:hint="eastAsia" w:ascii="黑体" w:hAnsi="黑体" w:eastAsia="黑体" w:cs="黑体"/>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ascii="黑体" w:hAnsi="黑体" w:eastAsia="黑体" w:cs="黑体"/>
              </w:rPr>
              <w:t>■</w:t>
            </w:r>
            <w:r>
              <w:rPr>
                <w:rFonts w:hint="eastAsia"/>
              </w:rPr>
              <w:t>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ascii="黑体" w:hAnsi="黑体" w:eastAsia="黑体" w:cs="黑体"/>
              </w:rPr>
              <w:t>■</w:t>
            </w:r>
            <w:r>
              <w:rPr>
                <w:rFonts w:hint="eastAsia"/>
              </w:rPr>
              <w:t>以身作则□建立机制□法规宣传</w:t>
            </w:r>
            <w:r>
              <w:rPr>
                <w:rFonts w:hint="eastAsia" w:ascii="黑体" w:hAnsi="黑体" w:eastAsia="黑体" w:cs="黑体"/>
              </w:rPr>
              <w:t>■</w:t>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400" w:lineRule="exact"/>
              <w:ind w:firstLine="482"/>
            </w:pPr>
            <w:r>
              <w:rPr>
                <w:rFonts w:hint="eastAsia"/>
              </w:rPr>
              <w:t>最高管理者制定了文件化的管理体系方针：</w:t>
            </w:r>
            <w:r>
              <w:rPr>
                <w:rFonts w:hint="eastAsia"/>
                <w:u w:val="single"/>
              </w:rPr>
              <w:t>“质量为本、满意服务；污染预防、全员环保；安全为天、珍爱生命；遵纪守法、持续改进”。</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QMS的主管部门是——市场部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color w:val="000000"/>
                    </w:rPr>
                    <w:t>竞争风险</w:t>
                  </w:r>
                </w:p>
              </w:tc>
              <w:tc>
                <w:tcPr>
                  <w:tcW w:w="3965" w:type="dxa"/>
                </w:tcPr>
                <w:p>
                  <w:pPr>
                    <w:shd w:val="clear" w:color="auto" w:fill="C7DAF1" w:themeFill="text2" w:themeFillTint="32"/>
                  </w:pPr>
                  <w:r>
                    <w:rPr>
                      <w:rFonts w:hint="eastAsia" w:ascii="宋体" w:hAnsi="宋体" w:cs="宋体"/>
                      <w:color w:val="000000"/>
                    </w:rPr>
                    <w:t>及时关注公司产品市场的情况，收集信息及时调整，保持公司产品的竞争力</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color w:val="000000"/>
                    </w:rPr>
                    <w:t>人力资源风险</w:t>
                  </w:r>
                </w:p>
              </w:tc>
              <w:tc>
                <w:tcPr>
                  <w:tcW w:w="3965" w:type="dxa"/>
                </w:tcPr>
                <w:p>
                  <w:pPr>
                    <w:shd w:val="clear" w:color="auto" w:fill="C7DAF1" w:themeFill="text2" w:themeFillTint="32"/>
                  </w:pPr>
                  <w:r>
                    <w:rPr>
                      <w:rFonts w:hint="eastAsia" w:ascii="宋体" w:hAnsi="宋体" w:cs="宋体"/>
                      <w:color w:val="000000"/>
                    </w:rPr>
                    <w:t>各部门应及时关注员工的心态变化，注意工作方式，创造良好的工作环境，提高员工的归属感</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ascii="宋体" w:hAnsi="宋体"/>
                    </w:rPr>
                  </w:pPr>
                  <w:r>
                    <w:rPr>
                      <w:rFonts w:hint="eastAsia"/>
                      <w:kern w:val="0"/>
                      <w:szCs w:val="21"/>
                    </w:rPr>
                    <w:t>产品交付合格率100</w:t>
                  </w:r>
                  <w:r>
                    <w:rPr>
                      <w:kern w:val="0"/>
                      <w:szCs w:val="21"/>
                    </w:rPr>
                    <w:t>%</w:t>
                  </w:r>
                  <w:r>
                    <w:rPr>
                      <w:rFonts w:hint="eastAsia"/>
                      <w:kern w:val="0"/>
                      <w:szCs w:val="21"/>
                    </w:rPr>
                    <w:t>；</w:t>
                  </w:r>
                </w:p>
              </w:tc>
              <w:tc>
                <w:tcPr>
                  <w:tcW w:w="3136" w:type="dxa"/>
                  <w:shd w:val="clear" w:color="auto" w:fill="auto"/>
                  <w:vAlign w:val="center"/>
                </w:tcPr>
                <w:p>
                  <w:pPr>
                    <w:shd w:val="clear" w:color="auto" w:fill="C7DAF1" w:themeFill="text2" w:themeFillTint="32"/>
                    <w:rPr>
                      <w:rFonts w:ascii="宋体" w:hAnsi="宋体"/>
                      <w:lang w:val="en-GB"/>
                    </w:rPr>
                  </w:pPr>
                  <w:r>
                    <w:rPr>
                      <w:rFonts w:hint="eastAsia" w:ascii="宋体" w:hAnsi="宋体"/>
                    </w:rPr>
                    <w:t>交验合格数/交验数×100%</w:t>
                  </w:r>
                </w:p>
              </w:tc>
              <w:tc>
                <w:tcPr>
                  <w:tcW w:w="1350" w:type="dxa"/>
                  <w:shd w:val="clear" w:color="auto" w:fill="auto"/>
                  <w:vAlign w:val="center"/>
                </w:tcPr>
                <w:p>
                  <w:pPr>
                    <w:shd w:val="clear" w:color="auto" w:fill="C7DAF1" w:themeFill="text2" w:themeFillTint="32"/>
                    <w:rPr>
                      <w:rFonts w:ascii="宋体" w:hAnsi="宋体"/>
                      <w:lang w:val="en-GB"/>
                    </w:rPr>
                  </w:pPr>
                  <w:r>
                    <w:rPr>
                      <w:rFonts w:hint="eastAsia" w:ascii="宋体" w:hAnsi="宋体"/>
                    </w:rPr>
                    <w:t>市场</w:t>
                  </w:r>
                  <w:r>
                    <w:rPr>
                      <w:rFonts w:hint="eastAsia" w:ascii="宋体" w:hAnsi="宋体"/>
                      <w:lang w:val="en-GB"/>
                    </w:rPr>
                    <w:t>部</w:t>
                  </w:r>
                </w:p>
              </w:tc>
              <w:tc>
                <w:tcPr>
                  <w:tcW w:w="1774" w:type="dxa"/>
                  <w:shd w:val="clear" w:color="auto" w:fill="auto"/>
                  <w:vAlign w:val="center"/>
                </w:tcPr>
                <w:p>
                  <w:pPr>
                    <w:shd w:val="clear" w:color="auto" w:fill="C7DAF1" w:themeFill="text2" w:themeFillTint="32"/>
                    <w:rPr>
                      <w:rFonts w:ascii="宋体" w:hAnsi="宋体"/>
                      <w:lang w:val="en-GB"/>
                    </w:rPr>
                  </w:pPr>
                  <w:r>
                    <w:rPr>
                      <w:rFonts w:hint="eastAsia" w:ascii="宋体" w:hAnsi="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ascii="宋体" w:hAnsi="宋体"/>
                    </w:rPr>
                  </w:pPr>
                  <w:r>
                    <w:rPr>
                      <w:rFonts w:hint="eastAsia" w:ascii="宋体" w:hAnsi="宋体"/>
                    </w:rPr>
                    <w:t>顾客满意率≥96分</w:t>
                  </w:r>
                </w:p>
                <w:p>
                  <w:pPr>
                    <w:shd w:val="clear" w:color="auto" w:fill="C7DAF1" w:themeFill="text2" w:themeFillTint="32"/>
                    <w:rPr>
                      <w:rFonts w:ascii="宋体" w:hAnsi="宋体"/>
                    </w:rPr>
                  </w:pP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rPr>
                    <w:t>满意度得分=打分总分数÷调查客户数量</w:t>
                  </w: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rPr>
                    <w:t>市场部</w:t>
                  </w:r>
                </w:p>
              </w:tc>
              <w:tc>
                <w:tcPr>
                  <w:tcW w:w="1774" w:type="dxa"/>
                  <w:shd w:val="clear" w:color="auto" w:fill="auto"/>
                  <w:vAlign w:val="center"/>
                </w:tcPr>
                <w:p>
                  <w:pPr>
                    <w:shd w:val="clear" w:color="auto" w:fill="C7DAF1" w:themeFill="text2" w:themeFillTint="32"/>
                    <w:rPr>
                      <w:rFonts w:ascii="宋体" w:hAnsi="宋体"/>
                    </w:rPr>
                  </w:pPr>
                  <w:r>
                    <w:rPr>
                      <w:rFonts w:hint="eastAsia" w:ascii="宋体" w:hAnsi="宋体"/>
                    </w:rPr>
                    <w:t>98分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黑体" w:hAnsi="黑体" w:eastAsia="黑体" w:cs="黑体"/>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ascii="黑体" w:hAnsi="黑体" w:eastAsia="黑体" w:cs="黑体"/>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ascii="黑体" w:hAnsi="黑体" w:eastAsia="黑体" w:cs="黑体"/>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建筑面积380平方米；经营场所1个；库房  个；实验室  个；</w:t>
            </w:r>
          </w:p>
          <w:p>
            <w:pPr>
              <w:shd w:val="clear" w:color="auto" w:fill="C7DAF1" w:themeFill="text2" w:themeFillTint="32"/>
              <w:rPr>
                <w:u w:val="single"/>
              </w:rPr>
            </w:pPr>
            <w:r>
              <w:rPr>
                <w:rFonts w:hint="eastAsia"/>
              </w:rPr>
              <w:t>主要生产设备有：</w:t>
            </w:r>
            <w:r>
              <w:rPr>
                <w:rFonts w:hint="eastAsia"/>
                <w:u w:val="single"/>
              </w:rPr>
              <w:t>电脑及办公设备等</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黑体" w:hAnsi="黑体" w:eastAsia="黑体" w:cs="黑体"/>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黑体" w:hAnsi="黑体" w:eastAsia="黑体" w:cs="黑体"/>
              </w:rPr>
              <w:t>□</w:t>
            </w:r>
            <w:r>
              <w:rPr>
                <w:rFonts w:hint="eastAsia"/>
              </w:rPr>
              <w:t>压力容器</w:t>
            </w:r>
            <w:r>
              <w:rPr>
                <w:rFonts w:hint="eastAsia" w:ascii="Wingdings" w:hAnsi="Wingdings"/>
              </w:rPr>
              <w:t>□</w:t>
            </w:r>
            <w:r>
              <w:rPr>
                <w:rFonts w:hint="eastAsia"/>
              </w:rPr>
              <w:t>压力管道■不适用</w:t>
            </w:r>
          </w:p>
          <w:p>
            <w:pPr>
              <w:shd w:val="clear" w:color="auto" w:fill="C7DAF1" w:themeFill="text2" w:themeFillTint="32"/>
              <w:rPr>
                <w:u w:val="single"/>
              </w:rPr>
            </w:pPr>
            <w:r>
              <w:rPr>
                <w:rFonts w:hint="eastAsia"/>
              </w:rPr>
              <w:t>特种设备管理：</w:t>
            </w:r>
            <w:r>
              <w:rPr>
                <w:rFonts w:hint="eastAsia" w:ascii="黑体" w:hAnsi="黑体" w:eastAsia="黑体" w:cs="黑体"/>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ascii="黑体" w:hAnsi="黑体" w:eastAsia="黑体" w:cs="黑体"/>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438"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ascii="黑体" w:hAnsi="黑体" w:eastAsia="黑体" w:cs="黑体"/>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黑体" w:hAnsi="黑体" w:eastAsia="黑体" w:cs="黑体"/>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黑体" w:hAnsi="黑体" w:eastAsia="黑体" w:cs="黑体"/>
              </w:rPr>
              <w:t>□</w:t>
            </w:r>
            <w:r>
              <w:rPr>
                <w:rFonts w:hint="eastAsia"/>
              </w:rPr>
              <w:t>外校</w:t>
            </w:r>
          </w:p>
          <w:p>
            <w:pPr>
              <w:shd w:val="clear" w:color="auto" w:fill="C7DAF1" w:themeFill="text2" w:themeFillTint="32"/>
              <w:rPr>
                <w:u w:val="single"/>
              </w:rPr>
            </w:pPr>
            <w:r>
              <w:rPr>
                <w:rFonts w:hint="eastAsia"/>
              </w:rPr>
              <w:t>国家强检的计量器具有：</w:t>
            </w:r>
          </w:p>
          <w:p>
            <w:pPr>
              <w:shd w:val="clear" w:color="auto" w:fill="C7DAF1" w:themeFill="text2" w:themeFillTint="32"/>
              <w:rPr>
                <w:u w:val="single"/>
              </w:rPr>
            </w:pPr>
            <w:r>
              <w:rPr>
                <w:rFonts w:hint="eastAsia"/>
              </w:rPr>
              <w:t>计量器具管理：</w:t>
            </w:r>
            <w:r>
              <w:rPr>
                <w:rFonts w:hint="eastAsia" w:ascii="黑体" w:hAnsi="黑体" w:eastAsia="黑体" w:cs="黑体"/>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黑体" w:hAnsi="黑体" w:eastAsia="黑体" w:cs="黑体"/>
              </w:rPr>
              <w:t>□</w:t>
            </w:r>
            <w:r>
              <w:rPr>
                <w:rFonts w:hint="eastAsia"/>
              </w:rPr>
              <w:t>加工工艺</w:t>
            </w:r>
            <w:r>
              <w:rPr>
                <w:rFonts w:hint="eastAsia" w:ascii="黑体" w:hAnsi="黑体" w:eastAsia="黑体" w:cs="黑体"/>
              </w:rPr>
              <w:t>□</w:t>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黑体" w:hAnsi="黑体" w:eastAsia="黑体" w:cs="黑体"/>
              </w:rPr>
              <w:t>■</w:t>
            </w:r>
            <w:r>
              <w:rPr>
                <w:rFonts w:hint="eastAsia"/>
              </w:rPr>
              <w:t>顾客提供资料</w:t>
            </w:r>
            <w:r>
              <w:rPr>
                <w:rFonts w:hint="eastAsia" w:ascii="黑体" w:hAnsi="黑体" w:eastAsia="黑体" w:cs="黑体"/>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黑体" w:hAnsi="黑体" w:eastAsia="黑体" w:cs="黑体"/>
              </w:rPr>
              <w:t>■</w:t>
            </w:r>
            <w:r>
              <w:rPr>
                <w:rFonts w:hint="eastAsia"/>
              </w:rPr>
              <w:t>招聘</w:t>
            </w:r>
            <w:r>
              <w:rPr>
                <w:rFonts w:hint="eastAsia" w:ascii="Wingdings" w:hAnsi="Wingdings"/>
              </w:rPr>
              <w:t>□</w:t>
            </w:r>
            <w:r>
              <w:rPr>
                <w:rFonts w:hint="eastAsia"/>
              </w:rPr>
              <w:t>换岗</w:t>
            </w:r>
            <w:r>
              <w:rPr>
                <w:rFonts w:hint="eastAsia" w:ascii="黑体" w:hAnsi="黑体" w:eastAsia="黑体" w:cs="黑体"/>
              </w:rPr>
              <w:t>■</w:t>
            </w:r>
            <w:r>
              <w:rPr>
                <w:rFonts w:hint="eastAsia"/>
              </w:rPr>
              <w:t>培训</w:t>
            </w:r>
            <w:r>
              <w:rPr>
                <w:rFonts w:hint="eastAsia" w:ascii="黑体" w:hAnsi="黑体" w:eastAsia="黑体" w:cs="黑体"/>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黑体" w:hAnsi="黑体" w:eastAsia="黑体" w:cs="黑体"/>
              </w:rPr>
              <w:t>□</w:t>
            </w:r>
            <w:r>
              <w:rPr>
                <w:rFonts w:hint="eastAsia"/>
              </w:rPr>
              <w:t>电工</w:t>
            </w:r>
            <w:r>
              <w:rPr>
                <w:rFonts w:hint="eastAsia" w:ascii="黑体" w:hAnsi="黑体" w:eastAsia="黑体" w:cs="黑体"/>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黑体" w:hAnsi="黑体" w:eastAsia="黑体" w:cs="黑体"/>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黑体" w:hAnsi="黑体" w:eastAsia="黑体" w:cs="黑体"/>
              </w:rPr>
              <w:t>■</w:t>
            </w:r>
            <w:r>
              <w:rPr>
                <w:rFonts w:hint="eastAsia"/>
              </w:rPr>
              <w:t>会议传达</w:t>
            </w:r>
            <w:r>
              <w:rPr>
                <w:rFonts w:hint="eastAsia" w:ascii="Wingdings" w:hAnsi="Wingdings"/>
              </w:rPr>
              <w:t>□</w:t>
            </w:r>
            <w:r>
              <w:rPr>
                <w:rFonts w:hint="eastAsia"/>
              </w:rPr>
              <w:t>标语</w:t>
            </w:r>
            <w:r>
              <w:rPr>
                <w:rFonts w:hint="eastAsia" w:ascii="黑体" w:hAnsi="黑体" w:eastAsia="黑体" w:cs="黑体"/>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黑体" w:hAnsi="黑体" w:eastAsia="黑体" w:cs="黑体"/>
              </w:rPr>
              <w:t>■</w:t>
            </w:r>
            <w:r>
              <w:rPr>
                <w:rFonts w:hint="eastAsia"/>
              </w:rPr>
              <w:t>文件发放</w:t>
            </w:r>
            <w:r>
              <w:rPr>
                <w:rFonts w:hint="eastAsia" w:ascii="黑体" w:hAnsi="黑体" w:eastAsia="黑体" w:cs="黑体"/>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黑体" w:hAnsi="黑体" w:eastAsia="黑体" w:cs="黑体"/>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黑体" w:hAnsi="黑体" w:eastAsia="黑体" w:cs="黑体"/>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黑体" w:hAnsi="黑体" w:eastAsia="黑体" w:cs="黑体"/>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ascii="黑体" w:hAnsi="黑体" w:eastAsia="黑体" w:cs="黑体"/>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黑体" w:hAnsi="黑体" w:eastAsia="黑体" w:cs="黑体"/>
              </w:rPr>
              <w:t>■</w:t>
            </w:r>
            <w:r>
              <w:rPr>
                <w:rFonts w:hint="eastAsia"/>
              </w:rPr>
              <w:t>工艺流程图</w:t>
            </w:r>
            <w:r>
              <w:rPr>
                <w:rFonts w:hint="eastAsia" w:ascii="黑体" w:hAnsi="黑体" w:eastAsia="黑体" w:cs="黑体"/>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黑体" w:hAnsi="黑体" w:eastAsia="黑体" w:cs="黑体"/>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黑体" w:hAnsi="黑体" w:eastAsia="黑体" w:cs="黑体"/>
              </w:rPr>
              <w:t>■</w:t>
            </w:r>
            <w:r>
              <w:rPr>
                <w:rFonts w:hint="eastAsia"/>
              </w:rPr>
              <w:t>外来标准</w:t>
            </w:r>
            <w:r>
              <w:rPr>
                <w:rFonts w:hint="eastAsia" w:ascii="Wingdings" w:hAnsi="Wingdings"/>
              </w:rPr>
              <w:t>□</w:t>
            </w:r>
            <w:r>
              <w:rPr>
                <w:rFonts w:hint="eastAsia"/>
              </w:rPr>
              <w:t>企业标准</w:t>
            </w:r>
            <w:r>
              <w:rPr>
                <w:rFonts w:hint="eastAsia" w:ascii="黑体" w:hAnsi="黑体" w:eastAsia="黑体" w:cs="黑体"/>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黑体" w:hAnsi="黑体" w:eastAsia="黑体" w:cs="黑体"/>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其他：销售产品采购。</w:t>
            </w:r>
          </w:p>
          <w:p>
            <w:pPr>
              <w:shd w:val="clear" w:color="auto" w:fill="C7DAF1" w:themeFill="text2" w:themeFillTint="32"/>
              <w:jc w:val="left"/>
            </w:pPr>
            <w:r>
              <w:rPr>
                <w:rFonts w:hint="eastAsia"/>
              </w:rPr>
              <w:t>提供给外部供方的信息</w:t>
            </w:r>
            <w:r>
              <w:rPr>
                <w:rFonts w:hint="eastAsia" w:ascii="黑体" w:hAnsi="黑体" w:eastAsia="黑体" w:cs="黑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sz w:val="20"/>
                    </w:rPr>
                    <w:t>锅炉、换热器、压力容器、水处理设备的销售</w:t>
                  </w:r>
                </w:p>
              </w:tc>
              <w:tc>
                <w:tcPr>
                  <w:tcW w:w="3665" w:type="dxa"/>
                </w:tcPr>
                <w:p>
                  <w:pPr>
                    <w:shd w:val="clear" w:color="auto" w:fill="C7DAF1" w:themeFill="text2" w:themeFillTint="32"/>
                    <w:jc w:val="left"/>
                  </w:pPr>
                  <w:r>
                    <w:rPr>
                      <w:rFonts w:hint="eastAsia"/>
                    </w:rPr>
                    <w:t>销售过程</w:t>
                  </w:r>
                </w:p>
              </w:tc>
              <w:tc>
                <w:tcPr>
                  <w:tcW w:w="3265" w:type="dxa"/>
                </w:tcPr>
                <w:p>
                  <w:pPr>
                    <w:shd w:val="clear" w:color="auto" w:fill="C7DAF1" w:themeFill="text2" w:themeFillTint="32"/>
                    <w:jc w:val="left"/>
                  </w:pPr>
                  <w:r>
                    <w:rPr>
                      <w:rFonts w:hint="eastAsia"/>
                    </w:rPr>
                    <w:t>产品质量、交付期、售后服务等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需要确认的过程：销售过程，</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宋体" w:hAnsi="宋体" w:eastAsia="宋体" w:cs="宋体"/>
              </w:rPr>
              <w:t>■</w:t>
            </w:r>
            <w:r>
              <w:rPr>
                <w:rFonts w:hint="eastAsia"/>
              </w:rPr>
              <w:t>存在不足，说明</w:t>
            </w:r>
            <w:r>
              <w:rPr>
                <w:rFonts w:hint="eastAsia"/>
                <w:lang w:val="en-US" w:eastAsia="zh-CN"/>
              </w:rPr>
              <w:t>:</w:t>
            </w:r>
            <w:r>
              <w:rPr>
                <w:rFonts w:hint="eastAsia"/>
                <w:u w:val="single"/>
                <w:lang w:val="en-US" w:eastAsia="zh-CN"/>
              </w:rPr>
              <w:t>未进行年度确认，已开具不符合</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黑体" w:hAnsi="黑体" w:eastAsia="黑体" w:cs="黑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黑体" w:hAnsi="黑体" w:eastAsia="黑体" w:cs="黑体"/>
              </w:rPr>
              <w:t>■</w:t>
            </w:r>
            <w:r>
              <w:rPr>
                <w:rFonts w:hint="eastAsia"/>
              </w:rPr>
              <w:t>标牌</w:t>
            </w:r>
            <w:r>
              <w:rPr>
                <w:rFonts w:hint="eastAsia" w:ascii="黑体" w:hAnsi="黑体" w:eastAsia="黑体" w:cs="黑体"/>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黑体" w:hAnsi="黑体" w:eastAsia="黑体" w:cs="黑体"/>
              </w:rPr>
              <w:t>■</w:t>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黑体" w:hAnsi="黑体" w:eastAsia="黑体" w:cs="黑体"/>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黑体" w:hAnsi="黑体" w:eastAsia="黑体" w:cs="黑体"/>
              </w:rPr>
              <w:t>■</w:t>
            </w:r>
            <w:r>
              <w:rPr>
                <w:rFonts w:hint="eastAsia"/>
              </w:rPr>
              <w:t>图纸</w:t>
            </w:r>
            <w:r>
              <w:rPr>
                <w:rFonts w:hint="eastAsia" w:ascii="Wingdings" w:hAnsi="Wingdings"/>
              </w:rPr>
              <w:t>□</w:t>
            </w:r>
            <w:r>
              <w:rPr>
                <w:rFonts w:hint="eastAsia"/>
              </w:rPr>
              <w:t>配方</w:t>
            </w:r>
            <w:r>
              <w:rPr>
                <w:rFonts w:hint="eastAsia" w:ascii="黑体" w:hAnsi="黑体" w:eastAsia="黑体" w:cs="黑体"/>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黑体" w:hAnsi="黑体" w:eastAsia="黑体" w:cs="黑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黑体" w:hAnsi="黑体" w:eastAsia="黑体" w:cs="黑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目前交付后活动：■三包</w:t>
            </w:r>
            <w:r>
              <w:rPr>
                <w:rFonts w:hint="eastAsia" w:ascii="黑体" w:hAnsi="黑体" w:eastAsia="黑体" w:cs="黑体"/>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黑体" w:hAnsi="黑体" w:eastAsia="黑体" w:cs="黑体"/>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黑体" w:hAnsi="黑体" w:eastAsia="黑体" w:cs="黑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宋体" w:hAnsi="宋体" w:eastAsia="宋体" w:cs="宋体"/>
              </w:rPr>
              <w:t>■</w:t>
            </w:r>
            <w:r>
              <w:rPr>
                <w:rFonts w:hint="eastAsia"/>
              </w:rPr>
              <w:t>进货检验</w:t>
            </w:r>
            <w:r>
              <w:rPr>
                <w:rFonts w:hint="eastAsia" w:ascii="Wingdings" w:hAnsi="Wingdings"/>
              </w:rPr>
              <w:t>□</w:t>
            </w:r>
            <w:r>
              <w:rPr>
                <w:rFonts w:hint="eastAsia"/>
              </w:rPr>
              <w:t>首件检验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黑体" w:hAnsi="黑体" w:eastAsia="黑体" w:cs="黑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黑体" w:hAnsi="黑体" w:eastAsia="黑体" w:cs="黑体"/>
              </w:rPr>
              <w:t>■</w:t>
            </w:r>
            <w:r>
              <w:rPr>
                <w:rFonts w:hint="eastAsia"/>
              </w:rPr>
              <w:t>顾客调查</w:t>
            </w:r>
            <w:r>
              <w:rPr>
                <w:rFonts w:hint="eastAsia" w:ascii="黑体" w:hAnsi="黑体" w:eastAsia="黑体" w:cs="黑体"/>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宋体" w:hAnsi="宋体"/>
                <w:szCs w:val="21"/>
                <w:u w:val="single"/>
                <w:lang w:eastAsia="zh-CN"/>
              </w:rPr>
              <w:t>2022年9月04 - 05日</w:t>
            </w:r>
            <w:r>
              <w:rPr>
                <w:rFonts w:hint="eastAsia"/>
              </w:rPr>
              <w:t>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lang w:eastAsia="zh-CN"/>
              </w:rPr>
              <w:t>2022年9月16日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黑体" w:hAnsi="黑体" w:eastAsia="黑体" w:cs="黑体"/>
              </w:rPr>
              <w:t>■</w:t>
            </w:r>
            <w:r>
              <w:rPr>
                <w:rFonts w:hint="eastAsia"/>
              </w:rPr>
              <w:t>不合格产品/服务</w:t>
            </w:r>
            <w:r>
              <w:rPr>
                <w:rFonts w:hint="eastAsia" w:ascii="宋体" w:hAnsi="宋体" w:eastAsia="宋体" w:cs="宋体"/>
              </w:rPr>
              <w:t>■</w:t>
            </w:r>
            <w:r>
              <w:rPr>
                <w:rFonts w:hint="eastAsia"/>
              </w:rPr>
              <w:t>自我验证的结果</w:t>
            </w:r>
            <w:r>
              <w:rPr>
                <w:rFonts w:hint="eastAsia" w:ascii="Wingdings" w:hAnsi="Wingdings"/>
              </w:rPr>
              <w:t>□</w:t>
            </w:r>
            <w:r>
              <w:rPr>
                <w:rFonts w:hint="eastAsia"/>
              </w:rPr>
              <w:t>顾客投诉</w:t>
            </w:r>
            <w:r>
              <w:rPr>
                <w:rFonts w:hint="eastAsia" w:ascii="黑体" w:hAnsi="黑体" w:eastAsia="黑体" w:cs="黑体"/>
              </w:rPr>
              <w:t>■</w:t>
            </w:r>
            <w:r>
              <w:rPr>
                <w:rFonts w:hint="eastAsia"/>
              </w:rPr>
              <w:t>顾客满意调查</w:t>
            </w:r>
          </w:p>
          <w:p>
            <w:pPr>
              <w:shd w:val="clear" w:color="auto" w:fill="C7DAF1" w:themeFill="text2" w:themeFillTint="32"/>
            </w:pPr>
            <w:r>
              <w:rPr>
                <w:rFonts w:hint="eastAsia" w:ascii="黑体" w:hAnsi="黑体" w:eastAsia="黑体" w:cs="黑体"/>
              </w:rPr>
              <w:t>■</w:t>
            </w:r>
            <w:r>
              <w:rPr>
                <w:rFonts w:hint="eastAsia"/>
              </w:rPr>
              <w:t>内审不符合项</w:t>
            </w:r>
            <w:r>
              <w:rPr>
                <w:rFonts w:hint="eastAsia" w:ascii="宋体" w:hAnsi="宋体" w:eastAsia="宋体" w:cs="宋体"/>
              </w:rPr>
              <w:t>■</w:t>
            </w:r>
            <w:r>
              <w:rPr>
                <w:rFonts w:hint="eastAsia"/>
              </w:rPr>
              <w:t>外审不符合项</w:t>
            </w:r>
            <w:r>
              <w:rPr>
                <w:rFonts w:hint="eastAsia" w:ascii="宋体" w:hAnsi="宋体" w:eastAsia="宋体" w:cs="宋体"/>
              </w:rPr>
              <w:t>■</w:t>
            </w:r>
            <w:r>
              <w:rPr>
                <w:rFonts w:hint="eastAsia"/>
              </w:rPr>
              <w:t>管理评审</w:t>
            </w:r>
            <w:r>
              <w:rPr>
                <w:rFonts w:hint="eastAsia" w:ascii="黑体" w:hAnsi="黑体" w:eastAsia="黑体" w:cs="黑体"/>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t xml:space="preserve">■法律法规 ■技术 ■竞争 ■市场 □文化 □社会 ■经济环境 </w:t>
                  </w:r>
                </w:p>
                <w:p>
                  <w:pPr>
                    <w:shd w:val="clear" w:color="auto" w:fill="EBF1DE" w:themeFill="accent3" w:themeFillTint="32"/>
                  </w:pPr>
                  <w:r>
                    <w:rPr>
                      <w:rFonts w:hint="eastAsia"/>
                    </w:rPr>
                    <w:t>□政治 ■监管  ■财务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 xml:space="preserve">■价值观  □文化  □知识 ■绩效 ■工艺 ■设备 ■人员能力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■采购 ■人力资源■营销和市场  ■生产 ■检验 ■仓库管理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 xml:space="preserve">■节约能源  ■节约资源 ■达标排放 ■消防控制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400" w:lineRule="exact"/>
              <w:ind w:firstLine="482"/>
              <w:rPr>
                <w:u w:val="single"/>
              </w:rPr>
            </w:pPr>
            <w:r>
              <w:rPr>
                <w:rFonts w:hint="eastAsia"/>
              </w:rPr>
              <w:t>最高管理者制定了文件化的管理体系方针：</w:t>
            </w:r>
            <w:r>
              <w:rPr>
                <w:rFonts w:hint="eastAsia"/>
                <w:u w:val="single"/>
              </w:rPr>
              <w:t>“质量为本、满意服务；污染预防、全员环保；安全为天、珍爱生命；遵纪守法、持续改进”。</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yellow"/>
                    </w:rPr>
                  </w:pPr>
                  <w:r>
                    <w:rPr>
                      <w:rFonts w:hint="eastAsia" w:asciiTheme="minorEastAsia" w:hAnsiTheme="minorEastAsia" w:eastAsiaTheme="minorEastAsia"/>
                      <w:szCs w:val="21"/>
                    </w:rPr>
                    <w:t>潜在火灾</w:t>
                  </w:r>
                </w:p>
              </w:tc>
              <w:tc>
                <w:tcPr>
                  <w:tcW w:w="3965" w:type="dxa"/>
                </w:tcPr>
                <w:p>
                  <w:pPr>
                    <w:shd w:val="clear" w:color="auto" w:fill="EBF1DE" w:themeFill="accent3" w:themeFillTint="32"/>
                    <w:rPr>
                      <w:highlight w:val="yellow"/>
                    </w:rPr>
                  </w:pPr>
                  <w:r>
                    <w:rPr>
                      <w:rFonts w:hint="eastAsia" w:asciiTheme="minorEastAsia" w:hAnsiTheme="minorEastAsia" w:eastAsiaTheme="minorEastAsia"/>
                      <w:szCs w:val="21"/>
                    </w:rPr>
                    <w:t>通过管理方案和预案措施、应急演练进行管理</w:t>
                  </w:r>
                </w:p>
              </w:tc>
              <w:tc>
                <w:tcPr>
                  <w:tcW w:w="1717"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yellow"/>
                    </w:rPr>
                  </w:pPr>
                  <w:r>
                    <w:rPr>
                      <w:rFonts w:hint="eastAsia"/>
                    </w:rPr>
                    <w:t>固废排放</w:t>
                  </w:r>
                </w:p>
              </w:tc>
              <w:tc>
                <w:tcPr>
                  <w:tcW w:w="3965" w:type="dxa"/>
                </w:tcPr>
                <w:p>
                  <w:pPr>
                    <w:shd w:val="clear" w:color="auto" w:fill="EBF1DE" w:themeFill="accent3" w:themeFillTint="32"/>
                    <w:rPr>
                      <w:highlight w:val="yellow"/>
                    </w:rPr>
                  </w:pPr>
                  <w:r>
                    <w:rPr>
                      <w:rFonts w:hint="eastAsia" w:asciiTheme="minorEastAsia" w:hAnsiTheme="minorEastAsia" w:eastAsiaTheme="minorEastAsia"/>
                      <w:szCs w:val="21"/>
                    </w:rPr>
                    <w:t>采取分类收集、管理方案进行管理</w:t>
                  </w:r>
                </w:p>
              </w:tc>
              <w:tc>
                <w:tcPr>
                  <w:tcW w:w="1717"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yellow"/>
                    </w:rPr>
                  </w:pPr>
                </w:p>
              </w:tc>
              <w:tc>
                <w:tcPr>
                  <w:tcW w:w="3965" w:type="dxa"/>
                </w:tcPr>
                <w:p>
                  <w:pPr>
                    <w:shd w:val="clear" w:color="auto" w:fill="EBF1DE" w:themeFill="accent3" w:themeFillTint="32"/>
                    <w:rPr>
                      <w:highlight w:val="yellow"/>
                    </w:rPr>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yellow"/>
                    </w:rPr>
                  </w:pPr>
                </w:p>
              </w:tc>
              <w:tc>
                <w:tcPr>
                  <w:tcW w:w="3965" w:type="dxa"/>
                </w:tcPr>
                <w:p>
                  <w:pPr>
                    <w:shd w:val="clear" w:color="auto" w:fill="EBF1DE" w:themeFill="accent3" w:themeFillTint="32"/>
                    <w:rPr>
                      <w:highlight w:val="yellow"/>
                    </w:rPr>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  □资源消耗 □废水排放  □废气排放 □粉尘排放  □危废排放 □噪声排放  □危化品泄露 □压力容器爆炸  ■火灾  ■其他：固废排放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□设备降噪  □危废合法处置 □使用节能设备  □危化品控制 </w:t>
            </w:r>
          </w:p>
          <w:p>
            <w:pPr>
              <w:shd w:val="clear" w:color="auto" w:fill="EBF1DE" w:themeFill="accent3" w:themeFillTint="32"/>
              <w:rPr>
                <w:highlight w:val="cyan"/>
              </w:rPr>
            </w:pPr>
            <w:r>
              <w:rPr>
                <w:rFonts w:hint="eastAsia"/>
              </w:rPr>
              <w:t>□压力容器检测  ■消防控制  ■其他：固废处置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0"/>
              <w:gridCol w:w="2727"/>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0"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2727"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00" w:type="dxa"/>
                  <w:shd w:val="clear" w:color="auto" w:fill="auto"/>
                </w:tcPr>
                <w:p>
                  <w:r>
                    <w:rPr>
                      <w:rFonts w:hint="eastAsia" w:ascii="宋体"/>
                    </w:rPr>
                    <w:t>火灾事故为0</w:t>
                  </w:r>
                </w:p>
              </w:tc>
              <w:tc>
                <w:tcPr>
                  <w:tcW w:w="2727" w:type="dxa"/>
                  <w:shd w:val="clear" w:color="auto" w:fill="auto"/>
                  <w:vAlign w:val="center"/>
                </w:tcPr>
                <w:p>
                  <w:pPr>
                    <w:shd w:val="clear" w:color="auto" w:fill="EBF1DE" w:themeFill="accent3" w:themeFillTint="32"/>
                    <w:rPr>
                      <w:rFonts w:ascii="宋体" w:hAnsi="宋体"/>
                      <w:lang w:val="en-GB"/>
                    </w:rPr>
                  </w:pPr>
                  <w:r>
                    <w:rPr>
                      <w:rFonts w:hint="eastAsia" w:asciiTheme="minorEastAsia" w:hAnsiTheme="minorEastAsia" w:eastAsiaTheme="minorEastAsia"/>
                      <w:szCs w:val="21"/>
                    </w:rPr>
                    <w:t>通过管理方案和预案措施、应急演练进行管理</w:t>
                  </w:r>
                </w:p>
              </w:tc>
              <w:tc>
                <w:tcPr>
                  <w:tcW w:w="1350" w:type="dxa"/>
                  <w:shd w:val="clear" w:color="auto" w:fill="auto"/>
                  <w:vAlign w:val="center"/>
                </w:tcPr>
                <w:p>
                  <w:pPr>
                    <w:shd w:val="clear" w:color="auto" w:fill="EBF1DE" w:themeFill="accent3" w:themeFillTint="32"/>
                    <w:rPr>
                      <w:lang w:val="en-GB"/>
                    </w:rPr>
                  </w:pPr>
                  <w:r>
                    <w:rPr>
                      <w:rFonts w:hint="eastAsia"/>
                    </w:rPr>
                    <w:t>综合部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0" w:type="dxa"/>
                  <w:shd w:val="clear" w:color="auto" w:fill="auto"/>
                </w:tcPr>
                <w:p>
                  <w:pPr>
                    <w:shd w:val="clear" w:color="auto" w:fill="EBF1DE" w:themeFill="accent3" w:themeFillTint="32"/>
                  </w:pPr>
                  <w:r>
                    <w:rPr>
                      <w:rFonts w:hint="eastAsia" w:ascii="宋体"/>
                    </w:rPr>
                    <w:t>固体废弃物100%合规处理</w:t>
                  </w:r>
                </w:p>
              </w:tc>
              <w:tc>
                <w:tcPr>
                  <w:tcW w:w="2727" w:type="dxa"/>
                  <w:shd w:val="clear" w:color="auto" w:fill="auto"/>
                  <w:vAlign w:val="center"/>
                </w:tcPr>
                <w:p>
                  <w:pPr>
                    <w:shd w:val="clear" w:color="auto" w:fill="EBF1DE" w:themeFill="accent3" w:themeFillTint="32"/>
                    <w:rPr>
                      <w:rFonts w:ascii="宋体" w:hAnsi="宋体"/>
                    </w:rPr>
                  </w:pPr>
                  <w:r>
                    <w:rPr>
                      <w:rFonts w:hint="eastAsia" w:asciiTheme="minorEastAsia" w:hAnsiTheme="minorEastAsia" w:eastAsiaTheme="minorEastAsia"/>
                      <w:szCs w:val="21"/>
                    </w:rPr>
                    <w:t>采取分类收集、管理方案进行管理</w:t>
                  </w:r>
                </w:p>
              </w:tc>
              <w:tc>
                <w:tcPr>
                  <w:tcW w:w="1350" w:type="dxa"/>
                  <w:shd w:val="clear" w:color="auto" w:fill="auto"/>
                  <w:vAlign w:val="center"/>
                </w:tcPr>
                <w:p>
                  <w:pPr>
                    <w:shd w:val="clear" w:color="auto" w:fill="EBF1DE" w:themeFill="accent3" w:themeFillTint="32"/>
                    <w:rPr>
                      <w:rFonts w:ascii="宋体" w:hAnsi="宋体"/>
                    </w:rPr>
                  </w:pPr>
                  <w:r>
                    <w:rPr>
                      <w:rFonts w:hint="eastAsia" w:ascii="宋体" w:hAnsi="宋体"/>
                    </w:rPr>
                    <w:t>综合部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rPr>
                    <w:t>合规处理率100%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0" w:type="dxa"/>
                  <w:shd w:val="clear" w:color="auto" w:fill="auto"/>
                </w:tcPr>
                <w:p>
                  <w:pPr>
                    <w:shd w:val="clear" w:color="auto" w:fill="EBF1DE" w:themeFill="accent3" w:themeFillTint="32"/>
                  </w:pPr>
                </w:p>
              </w:tc>
              <w:tc>
                <w:tcPr>
                  <w:tcW w:w="2727"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0" w:type="dxa"/>
                  <w:shd w:val="clear" w:color="auto" w:fill="auto"/>
                </w:tcPr>
                <w:p>
                  <w:pPr>
                    <w:shd w:val="clear" w:color="auto" w:fill="EBF1DE" w:themeFill="accent3" w:themeFillTint="32"/>
                  </w:pPr>
                </w:p>
              </w:tc>
              <w:tc>
                <w:tcPr>
                  <w:tcW w:w="2727"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0" w:type="dxa"/>
                  <w:shd w:val="clear" w:color="auto" w:fill="auto"/>
                </w:tcPr>
                <w:p>
                  <w:pPr>
                    <w:shd w:val="clear" w:color="auto" w:fill="EBF1DE" w:themeFill="accent3" w:themeFillTint="32"/>
                  </w:pPr>
                </w:p>
              </w:tc>
              <w:tc>
                <w:tcPr>
                  <w:tcW w:w="2727"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380   </w:t>
            </w:r>
            <w:r>
              <w:rPr>
                <w:rFonts w:hint="eastAsia"/>
              </w:rPr>
              <w:t>平方米；经营场所</w:t>
            </w:r>
            <w:r>
              <w:rPr>
                <w:rFonts w:hint="eastAsia"/>
                <w:u w:val="single"/>
              </w:rPr>
              <w:t xml:space="preserve"> 1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电脑、打印机、空调等办公设备     </w:t>
            </w:r>
          </w:p>
          <w:p>
            <w:pPr>
              <w:spacing w:line="400" w:lineRule="exact"/>
              <w:rPr>
                <w:u w:val="single"/>
              </w:rPr>
            </w:pPr>
            <w:r>
              <w:rPr>
                <w:rFonts w:hint="eastAsia"/>
              </w:rPr>
              <w:t>主要环保设备有：</w:t>
            </w:r>
            <w:r>
              <w:rPr>
                <w:rFonts w:hint="eastAsia"/>
                <w:u w:val="single"/>
              </w:rPr>
              <w:t xml:space="preserve">  </w:t>
            </w:r>
            <w:r>
              <w:rPr>
                <w:rFonts w:hint="eastAsia"/>
                <w:szCs w:val="21"/>
                <w:u w:val="single"/>
              </w:rPr>
              <w:t>消防栓、灭火器</w:t>
            </w:r>
            <w:r>
              <w:rPr>
                <w:rFonts w:hint="eastAsia"/>
                <w:u w:val="single"/>
              </w:rPr>
              <w:t xml:space="preserve">             </w:t>
            </w:r>
          </w:p>
          <w:p>
            <w:pPr>
              <w:shd w:val="clear" w:color="auto" w:fill="EBF1DE" w:themeFill="accent3" w:themeFillTint="32"/>
            </w:pPr>
            <w:r>
              <w:rPr>
                <w:rFonts w:hint="eastAsia"/>
              </w:rPr>
              <w:t>特种设备：无</w:t>
            </w:r>
          </w:p>
          <w:p>
            <w:pPr>
              <w:shd w:val="clear" w:color="auto" w:fill="EBF1DE" w:themeFill="accent3" w:themeFillTint="32"/>
            </w:pPr>
            <w:r>
              <w:rPr>
                <w:rFonts w:hint="eastAsia"/>
              </w:rPr>
              <w:t>辅助场所：</w:t>
            </w:r>
            <w:r>
              <w:rPr>
                <w:rFonts w:hint="eastAsia" w:ascii="Wingdings" w:hAnsi="Wingdings"/>
              </w:rPr>
              <w:t>无</w:t>
            </w:r>
          </w:p>
          <w:p>
            <w:pPr>
              <w:shd w:val="clear" w:color="auto" w:fill="EBF1DE" w:themeFill="accent3" w:themeFillTint="32"/>
            </w:pP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 无</w:t>
            </w:r>
          </w:p>
          <w:p>
            <w:pPr>
              <w:shd w:val="clear" w:color="auto" w:fill="EBF1DE" w:themeFill="accent3" w:themeFillTint="32"/>
              <w:rPr>
                <w:u w:val="single"/>
              </w:rPr>
            </w:pPr>
            <w:r>
              <w:rPr>
                <w:rFonts w:hint="eastAsia"/>
              </w:rPr>
              <w:t>环境监测的计量器具有：</w:t>
            </w:r>
            <w:r>
              <w:rPr>
                <w:rFonts w:hint="eastAsia"/>
                <w:u w:val="single"/>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■招聘 </w:t>
            </w:r>
            <w:r>
              <w:rPr>
                <w:rFonts w:hint="eastAsia"/>
                <w:lang w:eastAsia="zh-CN"/>
              </w:rPr>
              <w:t>□</w:t>
            </w:r>
            <w:r>
              <w:rPr>
                <w:rFonts w:hint="eastAsia"/>
              </w:rPr>
              <w:t xml:space="preserve">换岗 ■培训  ■考核   </w:t>
            </w:r>
            <w:r>
              <w:rPr>
                <w:rFonts w:hint="eastAsia"/>
                <w:lang w:eastAsia="zh-CN"/>
              </w:rPr>
              <w:t>□</w:t>
            </w:r>
            <w:r>
              <w:rPr>
                <w:rFonts w:hint="eastAsia"/>
              </w:rPr>
              <w:t xml:space="preserve">辅导  </w:t>
            </w:r>
            <w:r>
              <w:rPr>
                <w:rFonts w:hint="eastAsia"/>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无</w:t>
            </w:r>
            <w:r>
              <w:rPr>
                <w:rFonts w:hint="eastAsia"/>
              </w:rPr>
              <w:t xml:space="preserve">  </w:t>
            </w:r>
          </w:p>
          <w:p>
            <w:pPr>
              <w:shd w:val="clear" w:color="auto" w:fill="EBF1DE" w:themeFill="accent3" w:themeFillTint="32"/>
            </w:pPr>
            <w:r>
              <w:rPr>
                <w:rFonts w:hint="eastAsia"/>
              </w:rPr>
              <w:t xml:space="preserve">特种设备作业人员：无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 xml:space="preserve">内部沟通方式：■文件发放 ■会议 ■标语  ■展板   </w:t>
            </w:r>
            <w:r>
              <w:rPr>
                <w:rFonts w:hint="eastAsia"/>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rPr>
              <w:t>■</w:t>
            </w:r>
            <w:r>
              <w:rPr>
                <w:rFonts w:hint="eastAsia"/>
              </w:rPr>
              <w:t xml:space="preserve">标语 ■展板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无          （</w:t>
            </w:r>
            <w:r>
              <w:rPr>
                <w:rFonts w:hint="eastAsia"/>
              </w:rPr>
              <w:t>举1例）</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无</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asciiTheme="minorEastAsia" w:hAnsiTheme="minorEastAsia" w:eastAsiaTheme="minorEastAsia"/>
                      <w:szCs w:val="21"/>
                    </w:rPr>
                    <w:t>采取分类收集、管理方案进行管理</w:t>
                  </w:r>
                </w:p>
              </w:tc>
              <w:tc>
                <w:tcPr>
                  <w:tcW w:w="3265" w:type="dxa"/>
                </w:tcPr>
                <w:p>
                  <w:pPr>
                    <w:shd w:val="clear" w:color="auto" w:fill="EBF1DE" w:themeFill="accent3" w:themeFillTint="32"/>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asciiTheme="minorEastAsia" w:hAnsiTheme="minorEastAsia" w:eastAsiaTheme="minorEastAsia"/>
                      <w:szCs w:val="21"/>
                    </w:rPr>
                    <w:t>通过管理方案和预案措施、应急演练进行管理</w:t>
                  </w:r>
                </w:p>
              </w:tc>
              <w:tc>
                <w:tcPr>
                  <w:tcW w:w="3265" w:type="dxa"/>
                </w:tcPr>
                <w:p>
                  <w:pPr>
                    <w:shd w:val="clear" w:color="auto" w:fill="EBF1DE" w:themeFill="accent3" w:themeFillTint="32"/>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ascii="Wingdings" w:hAnsi="Wingdings"/>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u w:val="single"/>
              </w:rPr>
              <w:t>不适用</w:t>
            </w:r>
            <w:r>
              <w:rPr>
                <w:rFonts w:hint="eastAsia"/>
                <w:u w:val="single"/>
              </w:rPr>
              <w:t xml:space="preserve">      </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组织在生产和服务提供的整个过程中不涉及危化品。</w:t>
            </w:r>
          </w:p>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危化品：不涉及危化品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 xml:space="preserve">已发生的更改包括：■重要原材料 </w:t>
            </w:r>
            <w:r>
              <w:rPr>
                <w:rFonts w:hint="eastAsia"/>
                <w:lang w:eastAsia="zh-CN"/>
              </w:rPr>
              <w:t>□</w:t>
            </w:r>
            <w:r>
              <w:rPr>
                <w:rFonts w:hint="eastAsia"/>
              </w:rPr>
              <w:t xml:space="preserve">设备 </w:t>
            </w:r>
            <w:r>
              <w:rPr>
                <w:rFonts w:hint="eastAsia"/>
                <w:lang w:eastAsia="zh-CN"/>
              </w:rPr>
              <w:t>□</w:t>
            </w:r>
            <w:r>
              <w:rPr>
                <w:rFonts w:hint="eastAsia"/>
              </w:rPr>
              <w:t xml:space="preserve">检测设备 ■图纸 ■工艺 </w:t>
            </w:r>
            <w:r>
              <w:rPr>
                <w:rFonts w:hint="eastAsia"/>
                <w:lang w:eastAsia="zh-CN"/>
              </w:rPr>
              <w:t>□</w:t>
            </w:r>
            <w:r>
              <w:rPr>
                <w:rFonts w:hint="eastAsia"/>
              </w:rPr>
              <w:t xml:space="preserve">加工场所 </w:t>
            </w:r>
            <w:r>
              <w:rPr>
                <w:rFonts w:hint="eastAsia"/>
                <w:lang w:eastAsia="zh-CN"/>
              </w:rPr>
              <w:t>□</w:t>
            </w:r>
            <w:r>
              <w:rPr>
                <w:rFonts w:hint="eastAsia"/>
              </w:rPr>
              <w:t>其他</w:t>
            </w:r>
          </w:p>
          <w:p>
            <w:pPr>
              <w:shd w:val="clear" w:color="auto" w:fill="EBF1DE" w:themeFill="accent3" w:themeFillTint="32"/>
            </w:pPr>
            <w:r>
              <w:rPr>
                <w:rFonts w:hint="eastAsia"/>
              </w:rPr>
              <w:t xml:space="preserve">变更控制：■符合要求 </w:t>
            </w:r>
            <w:r>
              <w:rPr>
                <w:rFonts w:hint="eastAsia"/>
                <w:lang w:eastAsia="zh-CN"/>
              </w:rPr>
              <w:t>□</w:t>
            </w:r>
            <w:r>
              <w:rPr>
                <w:rFonts w:hint="eastAsia"/>
              </w:rPr>
              <w:t xml:space="preserve">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 xml:space="preserve">火灾控制 </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 xml:space="preserve">未发生  </w:t>
            </w:r>
          </w:p>
          <w:p>
            <w:pPr>
              <w:shd w:val="clear" w:color="auto" w:fill="EBF1DE" w:themeFill="accent3" w:themeFillTint="32"/>
            </w:pPr>
            <w:r>
              <w:rPr>
                <w:rFonts w:hint="eastAsia"/>
              </w:rPr>
              <w:t>于</w:t>
            </w:r>
            <w:r>
              <w:rPr>
                <w:rFonts w:hint="eastAsia"/>
                <w:u w:val="single"/>
                <w:lang w:eastAsia="zh-CN"/>
              </w:rPr>
              <w:t>2022年03月06日</w:t>
            </w:r>
            <w:r>
              <w:rPr>
                <w:rFonts w:hint="eastAsia"/>
              </w:rPr>
              <w:t xml:space="preserve">进行了消防的演练；并总结了预案的可行性和有效性。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eastAsia" w:eastAsia="宋体"/>
                <w:lang w:eastAsia="zh-CN"/>
              </w:rPr>
            </w:pPr>
            <w:r>
              <w:rPr>
                <w:rFonts w:hint="eastAsia" w:ascii="宋体" w:hAnsi="宋体" w:eastAsia="宋体" w:cs="宋体"/>
                <w:lang w:eastAsia="zh-CN"/>
              </w:rPr>
              <w:t>■</w:t>
            </w:r>
            <w:r>
              <w:rPr>
                <w:rFonts w:hint="eastAsia"/>
              </w:rPr>
              <w:t>定期（每年） ：</w:t>
            </w:r>
            <w:r>
              <w:rPr>
                <w:rFonts w:hint="eastAsia"/>
                <w:u w:val="single"/>
                <w:lang w:eastAsia="zh-CN"/>
              </w:rPr>
              <w:t>2022年7月26日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实施的检测：无</w:t>
            </w: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 xml:space="preserve">通过年度策划于 </w:t>
            </w:r>
            <w:r>
              <w:rPr>
                <w:rFonts w:hint="eastAsia" w:ascii="宋体" w:hAnsi="宋体"/>
                <w:szCs w:val="21"/>
                <w:u w:val="single"/>
                <w:lang w:eastAsia="zh-CN"/>
              </w:rPr>
              <w:t>2022年9月04 - 05日</w:t>
            </w:r>
            <w:r>
              <w:rPr>
                <w:rFonts w:hint="eastAsia"/>
              </w:rPr>
              <w:t>实施了环境管理体系内部审核，对环境管理体系的符合性和有效性进行了审核。内审发现的 1 项不符合在本次审核前已完成整改。在公司内完成的这些审核是可信的。</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lang w:eastAsia="zh-CN"/>
              </w:rPr>
              <w:t>2022年9月16日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 xml:space="preserve">检测结果不合格 </w:t>
            </w:r>
            <w:r>
              <w:rPr>
                <w:rFonts w:hint="eastAsia" w:ascii="宋体" w:hAnsi="宋体" w:eastAsia="宋体" w:cs="宋体"/>
                <w:lang w:eastAsia="zh-CN"/>
              </w:rPr>
              <w:t>■</w:t>
            </w:r>
            <w:r>
              <w:rPr>
                <w:rFonts w:hint="eastAsia"/>
              </w:rPr>
              <w:t xml:space="preserve">自我检查的结果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pPr>
              <w:shd w:val="clear" w:color="auto" w:fill="EBF1DE" w:themeFill="accent3" w:themeFillTint="32"/>
            </w:pPr>
            <w:r>
              <w:rPr>
                <w:rFonts w:hint="eastAsia" w:ascii="宋体" w:hAnsi="宋体" w:eastAsia="宋体" w:cs="宋体"/>
                <w:lang w:eastAsia="zh-CN"/>
              </w:rPr>
              <w:t>■</w:t>
            </w:r>
            <w:r>
              <w:rPr>
                <w:rFonts w:hint="eastAsia"/>
              </w:rPr>
              <w:t xml:space="preserve">内审不符合项   </w:t>
            </w:r>
            <w:r>
              <w:rPr>
                <w:rFonts w:hint="eastAsia" w:ascii="宋体" w:hAnsi="宋体" w:eastAsia="宋体" w:cs="宋体"/>
                <w:lang w:eastAsia="zh-CN"/>
              </w:rPr>
              <w:t>■</w:t>
            </w:r>
            <w:r>
              <w:rPr>
                <w:rFonts w:hint="eastAsia"/>
              </w:rPr>
              <w:t xml:space="preserve">外审不符合项  </w:t>
            </w:r>
            <w:r>
              <w:rPr>
                <w:rFonts w:hint="eastAsia" w:ascii="宋体" w:hAnsi="宋体" w:eastAsia="宋体" w:cs="宋体"/>
                <w:lang w:eastAsia="zh-CN"/>
              </w:rPr>
              <w:t>■</w:t>
            </w:r>
            <w:r>
              <w:rPr>
                <w:rFonts w:hint="eastAsia"/>
              </w:rPr>
              <w:t xml:space="preserve">管理评审   </w:t>
            </w:r>
            <w:r>
              <w:rPr>
                <w:rFonts w:hint="eastAsia" w:ascii="宋体" w:hAnsi="宋体" w:eastAsia="宋体" w:cs="宋体"/>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□OHSMS体系建立以来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■价值观  □文化  □知识 ■绩效 ■工艺 ■设备 ■人员能力 </w:t>
                  </w:r>
                </w:p>
                <w:p>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□职业危害管理  ■消防控制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400" w:lineRule="exact"/>
              <w:ind w:firstLine="482"/>
            </w:pPr>
            <w:r>
              <w:rPr>
                <w:rFonts w:hint="eastAsia"/>
              </w:rPr>
              <w:t>最高管理者制定了文件化的职业健康安全管理体系方针</w:t>
            </w:r>
            <w:r>
              <w:rPr>
                <w:rFonts w:hint="eastAsia"/>
                <w:u w:val="single"/>
              </w:rPr>
              <w:t>“质量为本、满意服务；污染预防、全员环保；安全为天、珍爱生命；遵纪守法、持续改进”。</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r>
              <w:rPr>
                <w:rFonts w:hint="eastAsia"/>
              </w:rPr>
              <w:t>职业健康的主管部门是——综合部</w:t>
            </w:r>
          </w:p>
          <w:p>
            <w:r>
              <w:rPr>
                <w:rFonts w:hint="eastAsia"/>
              </w:rPr>
              <w:t>安全的主管部门是——综合部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员工代表是——李正友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火灾</w:t>
                  </w:r>
                </w:p>
              </w:tc>
              <w:tc>
                <w:tcPr>
                  <w:tcW w:w="3965" w:type="dxa"/>
                </w:tcPr>
                <w:p>
                  <w:r>
                    <w:rPr>
                      <w:rFonts w:hint="eastAsia" w:asciiTheme="minorEastAsia" w:hAnsiTheme="minorEastAsia" w:eastAsiaTheme="minorEastAsia"/>
                      <w:szCs w:val="21"/>
                    </w:rPr>
                    <w:t>通过管理方案和预案措施、应急演练进行管理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触电</w:t>
                  </w:r>
                </w:p>
              </w:tc>
              <w:tc>
                <w:tcPr>
                  <w:tcW w:w="3965" w:type="dxa"/>
                </w:tcPr>
                <w:p>
                  <w:r>
                    <w:rPr>
                      <w:rFonts w:hint="eastAsia" w:asciiTheme="minorEastAsia" w:hAnsiTheme="minorEastAsia" w:eastAsiaTheme="minorEastAsia"/>
                      <w:szCs w:val="21"/>
                    </w:rPr>
                    <w:t>通过管理方案和预案措施、应急演练进行管理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交通意外</w:t>
                  </w:r>
                </w:p>
              </w:tc>
              <w:tc>
                <w:tcPr>
                  <w:tcW w:w="3965" w:type="dxa"/>
                </w:tcPr>
                <w:p>
                  <w:r>
                    <w:rPr>
                      <w:rFonts w:hint="eastAsia" w:asciiTheme="minorEastAsia" w:hAnsiTheme="minorEastAsia" w:eastAsiaTheme="minorEastAsia"/>
                      <w:szCs w:val="21"/>
                    </w:rPr>
                    <w:t>通过管理方案和预案措施进行管理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  ■触电 □化学伤害  □噪声 □粉尘  □危险作业 □高低温  □危化品泄露 □压力容器爆炸  ■火灾  ■其他：</w:t>
            </w:r>
            <w:r>
              <w:rPr>
                <w:rFonts w:hint="eastAsia" w:ascii="宋体" w:hAnsi="宋体"/>
                <w:szCs w:val="21"/>
              </w:rPr>
              <w:t>意外交通伤害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  □除尘设备 ■漏电保护  □穿戴劳保用品 □作业票管理  □挂牌上锁管理</w:t>
            </w:r>
          </w:p>
          <w:p>
            <w:pPr>
              <w:rPr>
                <w:highlight w:val="cyan"/>
              </w:rPr>
            </w:pPr>
            <w:r>
              <w:rPr>
                <w:rFonts w:hint="eastAsia"/>
              </w:rPr>
              <w:t>□危化品控制 □压力容器检测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rPr>
                    <w:t>职业健康安全目标</w:t>
                  </w:r>
                </w:p>
              </w:tc>
              <w:tc>
                <w:tcPr>
                  <w:tcW w:w="3136" w:type="dxa"/>
                  <w:shd w:val="clear" w:color="auto" w:fill="auto"/>
                </w:tcPr>
                <w:p>
                  <w:r>
                    <w:rPr>
                      <w:rFonts w:hint="eastAsia"/>
                    </w:rPr>
                    <w:t>控制措施</w:t>
                  </w:r>
                </w:p>
              </w:tc>
              <w:tc>
                <w:tcPr>
                  <w:tcW w:w="1350" w:type="dxa"/>
                  <w:shd w:val="clear" w:color="auto" w:fill="auto"/>
                </w:tcPr>
                <w:p>
                  <w:r>
                    <w:rPr>
                      <w:rFonts w:hint="eastAsia"/>
                    </w:rPr>
                    <w:t>责任部门</w:t>
                  </w:r>
                </w:p>
              </w:tc>
              <w:tc>
                <w:tcPr>
                  <w:tcW w:w="1774" w:type="dxa"/>
                  <w:shd w:val="clear" w:color="auto" w:fill="auto"/>
                </w:tcPr>
                <w:p>
                  <w:r>
                    <w:rPr>
                      <w:rFonts w:hint="eastAsia"/>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highlight w:val="yellow"/>
                    </w:rPr>
                  </w:pPr>
                  <w:r>
                    <w:rPr>
                      <w:rFonts w:hint="eastAsia" w:ascii="宋体"/>
                    </w:rPr>
                    <w:t>火灾事故为0</w:t>
                  </w:r>
                </w:p>
              </w:tc>
              <w:tc>
                <w:tcPr>
                  <w:tcW w:w="3136" w:type="dxa"/>
                  <w:shd w:val="clear" w:color="auto" w:fill="auto"/>
                  <w:vAlign w:val="center"/>
                </w:tcPr>
                <w:p>
                  <w:pPr>
                    <w:rPr>
                      <w:rFonts w:ascii="宋体" w:hAnsi="宋体"/>
                      <w:lang w:val="en-GB"/>
                    </w:rPr>
                  </w:pPr>
                  <w:r>
                    <w:rPr>
                      <w:rFonts w:hint="eastAsia" w:asciiTheme="minorEastAsia" w:hAnsiTheme="minorEastAsia" w:eastAsiaTheme="minorEastAsia"/>
                      <w:szCs w:val="21"/>
                    </w:rPr>
                    <w:t>通过管理方案和预案措施、应急演练进行管理</w:t>
                  </w:r>
                </w:p>
              </w:tc>
              <w:tc>
                <w:tcPr>
                  <w:tcW w:w="1350" w:type="dxa"/>
                  <w:shd w:val="clear" w:color="auto" w:fill="auto"/>
                  <w:vAlign w:val="center"/>
                </w:tcPr>
                <w:p>
                  <w:pPr>
                    <w:rPr>
                      <w:rFonts w:ascii="宋体" w:hAnsi="宋体"/>
                      <w:lang w:val="en-GB"/>
                    </w:rPr>
                  </w:pPr>
                  <w:r>
                    <w:rPr>
                      <w:rFonts w:hint="eastAsia"/>
                    </w:rPr>
                    <w:t>综合部</w:t>
                  </w:r>
                </w:p>
              </w:tc>
              <w:tc>
                <w:tcPr>
                  <w:tcW w:w="1774" w:type="dxa"/>
                  <w:shd w:val="clear" w:color="auto" w:fill="auto"/>
                  <w:vAlign w:val="center"/>
                </w:tcPr>
                <w:p>
                  <w:pPr>
                    <w:jc w:val="center"/>
                    <w:rPr>
                      <w:rFonts w:ascii="宋体" w:hAnsi="宋体"/>
                      <w:lang w:val="en-GB"/>
                    </w:rPr>
                  </w:pPr>
                  <w:r>
                    <w:rPr>
                      <w:rFonts w:hint="eastAsia" w:ascii="宋体" w:hAnsi="宋体"/>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highlight w:val="yellow"/>
                    </w:rPr>
                  </w:pPr>
                  <w:r>
                    <w:rPr>
                      <w:rFonts w:hint="eastAsia" w:ascii="宋体"/>
                    </w:rPr>
                    <w:t>重伤事故为0</w:t>
                  </w:r>
                </w:p>
              </w:tc>
              <w:tc>
                <w:tcPr>
                  <w:tcW w:w="3136" w:type="dxa"/>
                  <w:shd w:val="clear" w:color="auto" w:fill="auto"/>
                  <w:vAlign w:val="center"/>
                </w:tcPr>
                <w:p>
                  <w:pPr>
                    <w:rPr>
                      <w:rFonts w:ascii="宋体" w:hAnsi="宋体"/>
                      <w:lang w:val="en-GB"/>
                    </w:rPr>
                  </w:pPr>
                  <w:r>
                    <w:rPr>
                      <w:rFonts w:hint="eastAsia" w:asciiTheme="minorEastAsia" w:hAnsiTheme="minorEastAsia" w:eastAsiaTheme="minorEastAsia"/>
                      <w:szCs w:val="21"/>
                    </w:rPr>
                    <w:t>通过管理方案和预案措施进行管理</w:t>
                  </w:r>
                </w:p>
              </w:tc>
              <w:tc>
                <w:tcPr>
                  <w:tcW w:w="1350" w:type="dxa"/>
                  <w:shd w:val="clear" w:color="auto" w:fill="auto"/>
                  <w:vAlign w:val="center"/>
                </w:tcPr>
                <w:p>
                  <w:pPr>
                    <w:rPr>
                      <w:rFonts w:ascii="宋体" w:hAnsi="宋体"/>
                      <w:lang w:val="en-GB"/>
                    </w:rPr>
                  </w:pPr>
                  <w:r>
                    <w:rPr>
                      <w:rFonts w:hint="eastAsia"/>
                    </w:rPr>
                    <w:t>综合部</w:t>
                  </w:r>
                </w:p>
              </w:tc>
              <w:tc>
                <w:tcPr>
                  <w:tcW w:w="1774" w:type="dxa"/>
                  <w:shd w:val="clear" w:color="auto" w:fill="auto"/>
                  <w:vAlign w:val="center"/>
                </w:tcPr>
                <w:p>
                  <w:pPr>
                    <w:jc w:val="center"/>
                    <w:rPr>
                      <w:rFonts w:ascii="宋体" w:hAnsi="宋体"/>
                      <w:lang w:val="en-GB"/>
                    </w:rPr>
                  </w:pPr>
                  <w:r>
                    <w:rPr>
                      <w:rFonts w:hint="eastAsia" w:ascii="宋体" w:hAnsi="宋体"/>
                    </w:rPr>
                    <w:t>未发生重伤事故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pStyle w:val="3"/>
                  </w:p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380  </w:t>
            </w:r>
            <w:r>
              <w:rPr>
                <w:rFonts w:hint="eastAsia"/>
              </w:rPr>
              <w:t>平方米；经营场地</w:t>
            </w:r>
            <w:r>
              <w:rPr>
                <w:rFonts w:hint="eastAsia"/>
                <w:u w:val="single"/>
              </w:rPr>
              <w:t xml:space="preserve">  1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pPr>
              <w:rPr>
                <w:u w:val="single"/>
              </w:rPr>
            </w:pPr>
            <w:r>
              <w:rPr>
                <w:rFonts w:hint="eastAsia"/>
              </w:rPr>
              <w:t>主要生产设备有：</w:t>
            </w:r>
            <w:r>
              <w:rPr>
                <w:rFonts w:hint="eastAsia"/>
                <w:u w:val="single"/>
              </w:rPr>
              <w:t xml:space="preserve">  电脑、打印机、空调等办公设备</w:t>
            </w:r>
          </w:p>
          <w:p>
            <w:pPr>
              <w:spacing w:line="400" w:lineRule="exact"/>
              <w:rPr>
                <w:u w:val="single"/>
              </w:rPr>
            </w:pPr>
            <w:r>
              <w:rPr>
                <w:rFonts w:hint="eastAsia"/>
              </w:rPr>
              <w:t>主要安全装置有：</w:t>
            </w:r>
            <w:r>
              <w:rPr>
                <w:rFonts w:hint="eastAsia"/>
                <w:szCs w:val="21"/>
                <w:u w:val="single"/>
              </w:rPr>
              <w:t>配电箱、空开</w:t>
            </w:r>
          </w:p>
          <w:p>
            <w:r>
              <w:rPr>
                <w:rFonts w:hint="eastAsia"/>
              </w:rPr>
              <w:t>特种设备：</w:t>
            </w:r>
            <w:r>
              <w:rPr>
                <w:rFonts w:hint="eastAsia" w:ascii="Wingdings" w:hAnsi="Wingdings"/>
                <w:u w:val="single"/>
              </w:rPr>
              <w:t>无</w:t>
            </w:r>
            <w:r>
              <w:rPr>
                <w:rFonts w:hint="eastAsia"/>
              </w:rPr>
              <w:t xml:space="preserve"> </w:t>
            </w:r>
          </w:p>
          <w:p>
            <w:r>
              <w:rPr>
                <w:rFonts w:hint="eastAsia"/>
              </w:rPr>
              <w:t>辅助场所：</w:t>
            </w:r>
            <w:r>
              <w:rPr>
                <w:rFonts w:hint="eastAsia" w:ascii="Wingdings" w:hAnsi="Wingdings"/>
                <w:u w:val="single"/>
              </w:rPr>
              <w:t>无</w:t>
            </w:r>
          </w:p>
          <w:p>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■招聘 </w:t>
            </w:r>
            <w:r>
              <w:rPr>
                <w:rFonts w:hint="eastAsia"/>
                <w:lang w:eastAsia="zh-CN"/>
              </w:rPr>
              <w:t>□</w:t>
            </w:r>
            <w:r>
              <w:rPr>
                <w:rFonts w:hint="eastAsia"/>
              </w:rPr>
              <w:t xml:space="preserve">换岗 ■培训  ■考核   </w:t>
            </w:r>
            <w:r>
              <w:rPr>
                <w:rFonts w:hint="eastAsia"/>
                <w:lang w:eastAsia="zh-CN"/>
              </w:rPr>
              <w:t>□</w:t>
            </w:r>
            <w:r>
              <w:rPr>
                <w:rFonts w:hint="eastAsia"/>
              </w:rPr>
              <w:t xml:space="preserve">辅导  </w:t>
            </w:r>
            <w:r>
              <w:rPr>
                <w:rFonts w:hint="eastAsia"/>
                <w:lang w:eastAsia="zh-CN"/>
              </w:rPr>
              <w:t>□</w:t>
            </w:r>
            <w:r>
              <w:rPr>
                <w:rFonts w:hint="eastAsia"/>
              </w:rPr>
              <w:t>其他</w:t>
            </w:r>
          </w:p>
          <w:p>
            <w:r>
              <w:rPr>
                <w:rFonts w:hint="eastAsia"/>
              </w:rPr>
              <w:t>对国家规定持证上岗的人员资质进行了有效的管理。</w:t>
            </w:r>
          </w:p>
          <w:p>
            <w:r>
              <w:rPr>
                <w:rFonts w:hint="eastAsia"/>
              </w:rPr>
              <w:t>特种作业人员：</w:t>
            </w:r>
            <w:r>
              <w:rPr>
                <w:rFonts w:hint="eastAsia" w:ascii="Wingdings" w:hAnsi="Wingdings"/>
              </w:rPr>
              <w:t>无</w:t>
            </w:r>
          </w:p>
          <w:p>
            <w:r>
              <w:rPr>
                <w:rFonts w:hint="eastAsia"/>
              </w:rPr>
              <w:t>特种设备作业人员：无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 xml:space="preserve">内部沟通方式：■文件发放 ■会议 ■标语  ■展板   </w:t>
            </w:r>
            <w:r>
              <w:rPr>
                <w:rFonts w:hint="eastAsia"/>
                <w:lang w:eastAsia="zh-CN"/>
              </w:rPr>
              <w:t>□</w:t>
            </w:r>
            <w:r>
              <w:rPr>
                <w:rFonts w:hint="eastAsia"/>
              </w:rPr>
              <w:t>其他</w:t>
            </w:r>
          </w:p>
          <w:p>
            <w:r>
              <w:rPr>
                <w:rFonts w:hint="eastAsia"/>
              </w:rPr>
              <w:t>外部沟通方式：</w:t>
            </w:r>
            <w:r>
              <w:rPr>
                <w:rFonts w:hint="eastAsia" w:ascii="Wingdings" w:hAnsi="Wingdings"/>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rPr>
              <w:t>■</w:t>
            </w:r>
            <w:r>
              <w:rPr>
                <w:rFonts w:hint="eastAsia"/>
              </w:rPr>
              <w:t xml:space="preserve">标语 ■展板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用低危害材料、工艺、运行或设备替代；</w:t>
            </w:r>
          </w:p>
          <w:p>
            <w:r>
              <w:rPr>
                <w:rFonts w:hint="eastAsia"/>
              </w:rPr>
              <w:t xml:space="preserve"> </w:t>
            </w:r>
            <w:r>
              <w:rPr>
                <w:rFonts w:hint="eastAsia" w:ascii="Wingdings" w:hAnsi="Wingdings"/>
              </w:rPr>
              <w:t>■</w:t>
            </w:r>
            <w:r>
              <w:rPr>
                <w:rFonts w:hint="eastAsia"/>
              </w:rPr>
              <w:t>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无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 □挂牌上锁管理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t>■漏电保护 □绝缘用具检测</w:t>
                  </w:r>
                </w:p>
              </w:tc>
              <w:tc>
                <w:tcPr>
                  <w:tcW w:w="2205"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  □穿戴劳保用品（防尘面罩）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  □空间隔离  ■防暑降温用品</w:t>
                  </w:r>
                </w:p>
              </w:tc>
              <w:tc>
                <w:tcPr>
                  <w:tcW w:w="2205"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 xml:space="preserve">进行了定期检查  </w:t>
            </w:r>
            <w:r>
              <w:rPr>
                <w:rFonts w:hint="eastAsia" w:ascii="Wingdings" w:hAnsi="Wingdings"/>
                <w:lang w:eastAsia="zh-CN"/>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rPr>
                <w:color w:val="000000" w:themeColor="text1"/>
                <w:highlight w:val="yellow"/>
              </w:rPr>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rPr>
                <w:color w:val="000000" w:themeColor="text1"/>
                <w:highlight w:val="yellow"/>
              </w:rPr>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■废物回收 ■最终处置 </w:t>
            </w:r>
            <w:r>
              <w:rPr>
                <w:rFonts w:hint="eastAsia"/>
                <w:lang w:eastAsia="zh-CN"/>
              </w:rPr>
              <w:t>□</w:t>
            </w:r>
            <w:r>
              <w:rPr>
                <w:rFonts w:hint="eastAsia"/>
              </w:rPr>
              <w:t>其他</w:t>
            </w:r>
          </w:p>
          <w:p>
            <w:r>
              <w:rPr>
                <w:rFonts w:hint="eastAsia"/>
              </w:rPr>
              <w:t xml:space="preserve">交付后活动：■符合要求 </w:t>
            </w:r>
            <w:r>
              <w:rPr>
                <w:rFonts w:hint="eastAsia"/>
                <w:lang w:eastAsia="zh-CN"/>
              </w:rPr>
              <w:t>□</w:t>
            </w:r>
            <w:r>
              <w:rPr>
                <w:rFonts w:hint="eastAsia"/>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已发生的更改包括：无</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r>
              <w:rPr>
                <w:rFonts w:hint="eastAsia"/>
              </w:rPr>
              <w:t>于</w:t>
            </w:r>
            <w:r>
              <w:rPr>
                <w:rFonts w:hint="eastAsia"/>
                <w:u w:val="single"/>
                <w:lang w:eastAsia="zh-CN"/>
              </w:rPr>
              <w:t>2022年03月06日</w:t>
            </w:r>
            <w:r>
              <w:rPr>
                <w:rFonts w:hint="eastAsia"/>
              </w:rPr>
              <w:t xml:space="preserve">进行了消防的演练；并总结了预案的可行性和有效性。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eastAsia="宋体"/>
                <w:lang w:eastAsia="zh-CN"/>
              </w:rPr>
            </w:pPr>
            <w:r>
              <w:rPr>
                <w:rFonts w:hint="eastAsia" w:ascii="宋体" w:hAnsi="宋体" w:eastAsia="宋体" w:cs="宋体"/>
                <w:lang w:eastAsia="zh-CN"/>
              </w:rPr>
              <w:t>■</w:t>
            </w:r>
            <w:r>
              <w:rPr>
                <w:rFonts w:hint="eastAsia"/>
              </w:rPr>
              <w:t>定期（每年） ：</w:t>
            </w:r>
            <w:r>
              <w:rPr>
                <w:rFonts w:hint="eastAsia"/>
                <w:u w:val="single"/>
                <w:lang w:eastAsia="zh-CN"/>
              </w:rPr>
              <w:t>2022年7月26日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eastAsia="zh-CN"/>
              </w:rPr>
              <w:t>2022年9月04 - 05日</w:t>
            </w:r>
            <w:r>
              <w:rPr>
                <w:rFonts w:hint="eastAsia"/>
              </w:rPr>
              <w:t>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p>
            <w:r>
              <w:rPr>
                <w:rFonts w:hint="eastAsia"/>
              </w:rPr>
              <w:t>组织将内部审核的结果的信息沟通给：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lang w:eastAsia="zh-CN"/>
              </w:rPr>
              <w:t>2022年9月16日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宋体" w:hAnsi="宋体" w:eastAsia="宋体" w:cs="宋体"/>
                <w:lang w:eastAsia="zh-CN"/>
              </w:rPr>
              <w:t>■</w:t>
            </w:r>
            <w:bookmarkStart w:id="30" w:name="_GoBack"/>
            <w:bookmarkEnd w:id="30"/>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I2Y2I4MGM4MDY5MTkxYTc1OWQ2YWJkMDM4MmZjZTIifQ=="/>
  </w:docVars>
  <w:rsids>
    <w:rsidRoot w:val="00000000"/>
    <w:rsid w:val="2BC5106A"/>
    <w:rsid w:val="452348D4"/>
    <w:rsid w:val="74B10C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18686</Words>
  <Characters>19671</Characters>
  <Lines>150</Lines>
  <Paragraphs>42</Paragraphs>
  <TotalTime>1</TotalTime>
  <ScaleCrop>false</ScaleCrop>
  <LinksUpToDate>false</LinksUpToDate>
  <CharactersWithSpaces>21505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2022-09-24T00:51:15Z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2052-11.1.0.12358</vt:lpwstr>
  </property>
</Properties>
</file>