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0636-2022-EnMS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中国能源建设集团南京线路器材有限公司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2022年09月17日 上午至2022年09月17日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vAlign w:val="top"/>
          </w:tcPr>
          <w:p>
            <w:pPr>
              <w:rPr>
                <w:rFonts w:ascii="宋体" w:hAnsi="宋体"/>
                <w:b/>
                <w:color w:val="000000"/>
                <w:szCs w:val="21"/>
                <w:lang w:val="de-DE"/>
              </w:rPr>
            </w:pPr>
            <w:r>
              <w:rPr>
                <w:rFonts w:hint="eastAsia" w:ascii="宋体" w:hAnsi="宋体"/>
                <w:b/>
                <w:color w:val="000000"/>
                <w:szCs w:val="21"/>
                <w:lang w:val="de-DE"/>
              </w:rPr>
              <w:t>□GB/T19001-2016□GB/T 50430-2017□GB/T24001-2016</w:t>
            </w:r>
          </w:p>
          <w:p>
            <w:pPr>
              <w:rPr>
                <w:rFonts w:ascii="宋体" w:hAnsi="宋体"/>
                <w:b/>
                <w:color w:val="000000"/>
                <w:szCs w:val="21"/>
                <w:lang w:val="de-DE"/>
              </w:rPr>
            </w:pPr>
            <w:r>
              <w:rPr>
                <w:rFonts w:hint="eastAsia" w:ascii="宋体" w:hAnsi="宋体"/>
                <w:b/>
                <w:color w:val="000000"/>
                <w:szCs w:val="21"/>
                <w:lang w:val="de-DE"/>
              </w:rPr>
              <w:t>□GB/T28001-2011□ISO45001：2018</w:t>
            </w:r>
          </w:p>
          <w:p>
            <w:pPr>
              <w:rPr>
                <w:rFonts w:hint="eastAsia" w:ascii="宋体" w:hAnsi="宋体"/>
                <w:b/>
                <w:color w:val="000000"/>
                <w:szCs w:val="21"/>
                <w:lang w:val="en-US" w:eastAsia="zh-CN"/>
              </w:rPr>
            </w:pPr>
            <w:r>
              <w:rPr>
                <w:rFonts w:hint="eastAsia" w:ascii="宋体" w:hAnsi="宋体"/>
                <w:b/>
                <w:color w:val="000000"/>
                <w:szCs w:val="21"/>
                <w:lang w:val="de-DE"/>
              </w:rPr>
              <w:sym w:font="Wingdings 2" w:char="0052"/>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w:t>
            </w:r>
            <w:r>
              <w:rPr>
                <w:rFonts w:hint="eastAsia" w:ascii="宋体" w:hAnsi="宋体"/>
                <w:b/>
                <w:sz w:val="21"/>
                <w:szCs w:val="21"/>
              </w:rPr>
              <w:t>RB</w:t>
            </w:r>
            <w:r>
              <w:rPr>
                <w:rFonts w:hint="eastAsia" w:ascii="宋体" w:hAnsi="宋体"/>
                <w:b/>
                <w:sz w:val="21"/>
                <w:szCs w:val="21"/>
                <w:lang w:val="en-US" w:eastAsia="zh-CN"/>
              </w:rPr>
              <w:t>/</w:t>
            </w:r>
            <w:r>
              <w:rPr>
                <w:rFonts w:hint="eastAsia" w:ascii="宋体" w:hAnsi="宋体"/>
                <w:b/>
                <w:sz w:val="21"/>
                <w:szCs w:val="21"/>
              </w:rPr>
              <w:t>T 119-2015 能源管理体系 机械制造企业认证要求</w:t>
            </w:r>
          </w:p>
          <w:p>
            <w:pPr>
              <w:rPr>
                <w:rFonts w:ascii="宋体" w:hAnsi="宋体"/>
                <w:b/>
                <w:color w:val="000000"/>
                <w:szCs w:val="21"/>
                <w:lang w:val="de-DE"/>
              </w:rPr>
            </w:pPr>
            <w:r>
              <w:rPr>
                <w:rFonts w:hint="eastAsia" w:ascii="宋体" w:hAnsi="宋体"/>
                <w:b/>
                <w:color w:val="000000"/>
                <w:szCs w:val="21"/>
                <w:lang w:val="de-DE"/>
              </w:rPr>
              <w:t>FSMS：□ GB/T22000-2006□ISO 22000-2018 HACCP：□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vAlign w:val="top"/>
          </w:tcPr>
          <w:p>
            <w:pPr>
              <w:rPr>
                <w:rFonts w:ascii="宋体"/>
                <w:b/>
                <w:color w:val="0000FF"/>
                <w:szCs w:val="21"/>
              </w:rPr>
            </w:pPr>
            <w:r>
              <w:rPr>
                <w:rFonts w:hint="eastAsia" w:ascii="宋体"/>
                <w:b/>
                <w:color w:val="0000FF"/>
                <w:szCs w:val="21"/>
                <w:lang w:val="en-US" w:eastAsia="zh-CN"/>
              </w:rPr>
              <w:t>河北省石家庄市/保定市/江苏省无锡市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w:t>
            </w:r>
            <w:r>
              <w:rPr>
                <w:rFonts w:hint="eastAsia" w:ascii="宋体"/>
                <w:b/>
                <w:color w:val="0000FF"/>
                <w:szCs w:val="21"/>
              </w:rPr>
              <w:sym w:font="Wingdings 2" w:char="0052"/>
            </w:r>
            <w:r>
              <w:rPr>
                <w:rFonts w:hint="eastAsia" w:ascii="宋体"/>
                <w:b/>
                <w:color w:val="0000FF"/>
                <w:szCs w:val="21"/>
              </w:rPr>
              <w:t>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范玲玲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2022-N1EnMS-1024421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徐申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ISC-JSZJ-526</w:t>
            </w:r>
          </w:p>
          <w:p>
            <w:pPr>
              <w:spacing w:line="240" w:lineRule="exact"/>
              <w:jc w:val="center"/>
              <w:rPr>
                <w:b/>
                <w:color w:val="000000"/>
                <w:szCs w:val="21"/>
              </w:rPr>
            </w:pPr>
            <w:r>
              <w:rPr>
                <w:b/>
                <w:color w:val="000000"/>
                <w:szCs w:val="21"/>
              </w:rPr>
              <w:t>无锡先锋电机有限公司</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5" w:name="组织名称Add1"/>
            <w:r>
              <w:rPr>
                <w:rFonts w:ascii="宋体"/>
                <w:b/>
                <w:color w:val="000000"/>
                <w:szCs w:val="21"/>
              </w:rPr>
              <w:t>中国能源建设集团南京线路器材有限公司</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6" w:name="注册地址"/>
            <w:r>
              <w:rPr>
                <w:rFonts w:ascii="宋体"/>
                <w:b/>
                <w:color w:val="000000"/>
                <w:szCs w:val="21"/>
              </w:rPr>
              <w:t>南京市六合区龙池街道龙华西路9号</w:t>
            </w:r>
            <w:bookmarkEnd w:id="16"/>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7" w:name="注册邮编"/>
            <w:r>
              <w:rPr>
                <w:rFonts w:ascii="宋体"/>
                <w:b/>
                <w:color w:val="000000"/>
                <w:szCs w:val="21"/>
              </w:rPr>
              <w:t>211500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8" w:name="办公地址"/>
            <w:bookmarkStart w:id="19" w:name="生产地址"/>
            <w:r>
              <w:rPr>
                <w:rFonts w:ascii="宋体"/>
                <w:b/>
                <w:color w:val="000000"/>
                <w:szCs w:val="21"/>
              </w:rPr>
              <w:t>南京市六合区龙池街道龙华西路9号</w:t>
            </w:r>
            <w:bookmarkEnd w:id="18"/>
            <w:bookmarkEnd w:id="19"/>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0" w:name="办公邮编"/>
            <w:r>
              <w:rPr>
                <w:rFonts w:ascii="宋体"/>
                <w:b/>
                <w:color w:val="000000"/>
                <w:szCs w:val="21"/>
              </w:rPr>
              <w:t>211500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1" w:name="联系人"/>
            <w:r>
              <w:rPr>
                <w:rFonts w:ascii="宋体"/>
                <w:b/>
                <w:color w:val="000000"/>
                <w:szCs w:val="21"/>
              </w:rPr>
              <w:t>杜波</w:t>
            </w:r>
            <w:bookmarkEnd w:id="21"/>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2" w:name="联系人手机"/>
            <w:r>
              <w:rPr>
                <w:rFonts w:ascii="宋体"/>
                <w:b/>
                <w:color w:val="000000"/>
                <w:szCs w:val="21"/>
              </w:rPr>
              <w:t>17368016116</w:t>
            </w:r>
            <w:bookmarkEnd w:id="22"/>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3" w:name="联系人传真"/>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4" w:name="法人"/>
            <w:r>
              <w:rPr>
                <w:rFonts w:ascii="宋体"/>
                <w:b/>
                <w:color w:val="000000"/>
                <w:szCs w:val="21"/>
              </w:rPr>
              <w:t>陈雷</w:t>
            </w:r>
            <w:bookmarkEnd w:id="24"/>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5" w:name="管理者代表"/>
            <w:r>
              <w:rPr>
                <w:rFonts w:ascii="宋体"/>
                <w:b/>
                <w:color w:val="000000"/>
                <w:szCs w:val="21"/>
              </w:rPr>
              <w:t>陆桂来</w:t>
            </w:r>
            <w:bookmarkEnd w:id="25"/>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Times New Roman" w:eastAsia="宋体" w:cs="Times New Roman"/>
                <w:b/>
                <w:color w:val="000000"/>
                <w:szCs w:val="21"/>
              </w:rPr>
              <w:t>各电压等级电力金具、施工机具、地脚螺栓、铁附件及各类中压开关柜、环网柜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rPr>
              <w:t>生</w:t>
            </w:r>
            <w:r>
              <w:rPr>
                <w:rFonts w:hint="eastAsia" w:ascii="宋体" w:hAnsi="宋体"/>
                <w:color w:val="000000"/>
                <w:szCs w:val="21"/>
                <w:highlight w:val="none"/>
              </w:rPr>
              <w:t>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lang w:val="en-US" w:eastAsia="zh-CN"/>
              </w:rPr>
            </w:pPr>
            <w:r>
              <w:rPr>
                <w:rFonts w:hint="eastAsia"/>
                <w:lang w:val="en-US" w:eastAsia="zh-CN"/>
              </w:rPr>
              <w:t>原材料检验→熔炼→浇注→开型→去浇冒口→检验→加工→装配→入库</w:t>
            </w:r>
          </w:p>
          <w:p>
            <w:pPr>
              <w:pStyle w:val="2"/>
              <w:rPr>
                <w:rFonts w:hint="eastAsia"/>
                <w:lang w:val="en-US" w:eastAsia="zh-CN"/>
              </w:rPr>
            </w:pPr>
          </w:p>
          <w:p>
            <w:pPr>
              <w:pStyle w:val="2"/>
            </w:pPr>
            <w:r>
              <w:drawing>
                <wp:inline distT="0" distB="0" distL="114300" distR="114300">
                  <wp:extent cx="4432300" cy="1384935"/>
                  <wp:effectExtent l="0" t="0" r="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432300" cy="1384935"/>
                          </a:xfrm>
                          <a:prstGeom prst="rect">
                            <a:avLst/>
                          </a:prstGeom>
                          <a:noFill/>
                          <a:ln>
                            <a:noFill/>
                          </a:ln>
                        </pic:spPr>
                      </pic:pic>
                    </a:graphicData>
                  </a:graphic>
                </wp:inline>
              </w:drawing>
            </w:r>
          </w:p>
          <w:p>
            <w:pPr>
              <w:pStyle w:val="3"/>
              <w:numPr>
                <w:ilvl w:val="0"/>
                <w:numId w:val="0"/>
              </w:numPr>
              <w:ind w:left="1680" w:leftChars="0"/>
            </w:pPr>
          </w:p>
          <w:p>
            <w:pPr>
              <w:pStyle w:val="3"/>
              <w:numPr>
                <w:ilvl w:val="0"/>
                <w:numId w:val="0"/>
              </w:numPr>
            </w:pPr>
            <w:r>
              <w:drawing>
                <wp:inline distT="0" distB="0" distL="114300" distR="114300">
                  <wp:extent cx="4473575" cy="1172845"/>
                  <wp:effectExtent l="0" t="0" r="952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4473575" cy="1172845"/>
                          </a:xfrm>
                          <a:prstGeom prst="rect">
                            <a:avLst/>
                          </a:prstGeom>
                          <a:noFill/>
                          <a:ln>
                            <a:noFill/>
                          </a:ln>
                        </pic:spPr>
                      </pic:pic>
                    </a:graphicData>
                  </a:graphic>
                </wp:inline>
              </w:drawing>
            </w:r>
          </w:p>
          <w:p>
            <w:pPr>
              <w:pStyle w:val="3"/>
              <w:numPr>
                <w:ilvl w:val="0"/>
                <w:numId w:val="0"/>
              </w:numPr>
            </w:pPr>
          </w:p>
          <w:p>
            <w:pPr>
              <w:pStyle w:val="3"/>
              <w:numPr>
                <w:ilvl w:val="0"/>
                <w:numId w:val="0"/>
              </w:numPr>
            </w:pPr>
            <w:r>
              <w:drawing>
                <wp:inline distT="0" distB="0" distL="114300" distR="114300">
                  <wp:extent cx="4859655" cy="1143635"/>
                  <wp:effectExtent l="0" t="0" r="4445" b="1206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4859655" cy="1143635"/>
                          </a:xfrm>
                          <a:prstGeom prst="rect">
                            <a:avLst/>
                          </a:prstGeom>
                          <a:noFill/>
                          <a:ln>
                            <a:noFill/>
                          </a:ln>
                        </pic:spPr>
                      </pic:pic>
                    </a:graphicData>
                  </a:graphic>
                </wp:inline>
              </w:drawing>
            </w:r>
          </w:p>
          <w:p>
            <w:pPr>
              <w:pStyle w:val="3"/>
              <w:numPr>
                <w:ilvl w:val="0"/>
                <w:numId w:val="0"/>
              </w:numPr>
            </w:pPr>
          </w:p>
          <w:p>
            <w:pPr>
              <w:pStyle w:val="3"/>
              <w:numPr>
                <w:ilvl w:val="0"/>
                <w:numId w:val="0"/>
              </w:numPr>
            </w:pPr>
            <w:r>
              <w:drawing>
                <wp:inline distT="0" distB="0" distL="114300" distR="114300">
                  <wp:extent cx="4316730" cy="1457960"/>
                  <wp:effectExtent l="0" t="0" r="127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9"/>
                          <a:stretch>
                            <a:fillRect/>
                          </a:stretch>
                        </pic:blipFill>
                        <pic:spPr>
                          <a:xfrm>
                            <a:off x="0" y="0"/>
                            <a:ext cx="4316730" cy="14579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r>
              <w:t>电力金具及电力线路附件生产所涉及的能源管理活动</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21"/>
        <w:gridCol w:w="1317"/>
        <w:gridCol w:w="1698"/>
        <w:gridCol w:w="177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2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131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698"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74"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中国能源建设集团南京线路器材有限公司</w:t>
            </w:r>
            <w:r>
              <w:rPr>
                <w:rFonts w:hint="eastAsia"/>
                <w:sz w:val="21"/>
                <w:szCs w:val="21"/>
                <w:lang w:val="en-US" w:eastAsia="zh-CN"/>
              </w:rPr>
              <w:t>/</w:t>
            </w:r>
            <w:r>
              <w:rPr>
                <w:sz w:val="21"/>
                <w:szCs w:val="21"/>
              </w:rPr>
              <w:t>南京市六合区龙池街道龙华西路9号</w:t>
            </w:r>
          </w:p>
        </w:tc>
        <w:tc>
          <w:tcPr>
            <w:tcW w:w="1521"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南京市六合区龙池街道龙华西路9号</w:t>
            </w:r>
          </w:p>
        </w:tc>
        <w:tc>
          <w:tcPr>
            <w:tcW w:w="1317" w:type="dxa"/>
            <w:vAlign w:val="center"/>
          </w:tcPr>
          <w:p>
            <w:pPr>
              <w:spacing w:before="40" w:after="40"/>
              <w:rPr>
                <w:rFonts w:hint="default" w:ascii="Times New Roman" w:hAnsi="Times New Roman" w:eastAsia="宋体" w:cs="Times New Roman"/>
                <w:kern w:val="2"/>
                <w:sz w:val="21"/>
                <w:szCs w:val="21"/>
                <w:lang w:val="en-US" w:eastAsia="ja-JP" w:bidi="ar-SA"/>
              </w:rPr>
            </w:pPr>
            <w:r>
              <w:rPr>
                <w:rFonts w:hint="eastAsia" w:ascii="Times New Roman" w:hAnsi="Times New Roman" w:eastAsia="宋体" w:cs="Times New Roman"/>
                <w:sz w:val="21"/>
                <w:szCs w:val="21"/>
                <w:highlight w:val="none"/>
                <w:lang w:val="en-US" w:eastAsia="zh-CN"/>
              </w:rPr>
              <w:t>总人数400人（能源体系150人）</w:t>
            </w:r>
          </w:p>
        </w:tc>
        <w:tc>
          <w:tcPr>
            <w:tcW w:w="1698" w:type="dxa"/>
            <w:vAlign w:val="center"/>
          </w:tcPr>
          <w:p>
            <w:pPr>
              <w:pStyle w:val="21"/>
              <w:rPr>
                <w:rFonts w:ascii="Times New Roman" w:hAnsi="Times New Roman" w:eastAsia="黑体" w:cs="Arial"/>
                <w:kern w:val="2"/>
                <w:sz w:val="21"/>
                <w:szCs w:val="21"/>
                <w:lang w:val="en-US" w:eastAsia="ja-JP" w:bidi="ar-SA"/>
              </w:rPr>
            </w:pPr>
            <w:bookmarkStart w:id="26" w:name="审核范围"/>
            <w:r>
              <w:t>电力金具及电力线路附件生产所涉及的能源管理活动</w:t>
            </w:r>
            <w:bookmarkEnd w:id="26"/>
          </w:p>
        </w:tc>
        <w:tc>
          <w:tcPr>
            <w:tcW w:w="1774" w:type="dxa"/>
            <w:vAlign w:val="center"/>
          </w:tcPr>
          <w:p>
            <w:pPr>
              <w:spacing w:before="40" w:after="40"/>
              <w:rPr>
                <w:rFonts w:hint="eastAsia"/>
                <w:lang w:val="en-US" w:eastAsia="zh-CN"/>
              </w:rPr>
            </w:pPr>
            <w:r>
              <w:rPr>
                <w:rFonts w:hint="eastAsia"/>
                <w:lang w:val="en-US" w:eastAsia="zh-CN"/>
              </w:rPr>
              <w:t>GB/T23331-2020</w:t>
            </w:r>
          </w:p>
          <w:p>
            <w:pPr>
              <w:pStyle w:val="2"/>
              <w:rPr>
                <w:rFonts w:ascii="Times New Roman" w:hAnsi="Times New Roman" w:eastAsia="黑体" w:cs="Times New Roman"/>
                <w:kern w:val="2"/>
                <w:sz w:val="21"/>
                <w:szCs w:val="21"/>
                <w:lang w:val="en-US" w:eastAsia="ja-JP" w:bidi="ar-SA"/>
              </w:rPr>
            </w:pPr>
            <w:r>
              <w:rPr>
                <w:rFonts w:hint="eastAsia" w:eastAsia="黑体"/>
                <w:szCs w:val="21"/>
                <w:lang w:val="en-US" w:eastAsia="zh-CN"/>
              </w:rPr>
              <w:t>RB/T119-2015</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21" w:type="dxa"/>
            <w:vAlign w:val="center"/>
          </w:tcPr>
          <w:p>
            <w:pPr>
              <w:spacing w:before="40" w:after="40"/>
              <w:rPr>
                <w:rFonts w:eastAsia="黑体"/>
                <w:szCs w:val="21"/>
                <w:lang w:eastAsia="ja-JP"/>
              </w:rPr>
            </w:pPr>
          </w:p>
        </w:tc>
        <w:tc>
          <w:tcPr>
            <w:tcW w:w="1317" w:type="dxa"/>
            <w:vAlign w:val="center"/>
          </w:tcPr>
          <w:p>
            <w:pPr>
              <w:spacing w:before="40" w:after="40"/>
              <w:rPr>
                <w:rFonts w:eastAsia="黑体"/>
                <w:szCs w:val="21"/>
                <w:lang w:eastAsia="ja-JP"/>
              </w:rPr>
            </w:pPr>
          </w:p>
        </w:tc>
        <w:tc>
          <w:tcPr>
            <w:tcW w:w="1698" w:type="dxa"/>
            <w:vAlign w:val="center"/>
          </w:tcPr>
          <w:p>
            <w:pPr>
              <w:spacing w:before="40" w:after="40"/>
              <w:rPr>
                <w:rFonts w:eastAsia="黑体"/>
                <w:szCs w:val="21"/>
                <w:lang w:eastAsia="ja-JP"/>
              </w:rPr>
            </w:pPr>
          </w:p>
        </w:tc>
        <w:tc>
          <w:tcPr>
            <w:tcW w:w="1774"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21" w:type="dxa"/>
            <w:vAlign w:val="center"/>
          </w:tcPr>
          <w:p>
            <w:pPr>
              <w:spacing w:before="40" w:after="40"/>
              <w:rPr>
                <w:rFonts w:eastAsia="黑体"/>
                <w:szCs w:val="21"/>
                <w:lang w:eastAsia="ja-JP"/>
              </w:rPr>
            </w:pPr>
          </w:p>
        </w:tc>
        <w:tc>
          <w:tcPr>
            <w:tcW w:w="1317" w:type="dxa"/>
            <w:vAlign w:val="center"/>
          </w:tcPr>
          <w:p>
            <w:pPr>
              <w:spacing w:before="40" w:after="40"/>
              <w:rPr>
                <w:rFonts w:eastAsia="黑体"/>
                <w:szCs w:val="21"/>
                <w:lang w:eastAsia="ja-JP"/>
              </w:rPr>
            </w:pPr>
          </w:p>
        </w:tc>
        <w:tc>
          <w:tcPr>
            <w:tcW w:w="1698" w:type="dxa"/>
            <w:vAlign w:val="center"/>
          </w:tcPr>
          <w:p>
            <w:pPr>
              <w:spacing w:before="40" w:after="40"/>
              <w:rPr>
                <w:rFonts w:eastAsia="黑体"/>
                <w:szCs w:val="21"/>
                <w:lang w:eastAsia="ja-JP"/>
              </w:rPr>
            </w:pPr>
          </w:p>
        </w:tc>
        <w:tc>
          <w:tcPr>
            <w:tcW w:w="1774"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21" w:type="dxa"/>
            <w:vAlign w:val="center"/>
          </w:tcPr>
          <w:p>
            <w:pPr>
              <w:spacing w:before="40" w:after="40"/>
              <w:rPr>
                <w:rFonts w:eastAsia="黑体"/>
                <w:szCs w:val="21"/>
                <w:lang w:eastAsia="ja-JP"/>
              </w:rPr>
            </w:pPr>
          </w:p>
        </w:tc>
        <w:tc>
          <w:tcPr>
            <w:tcW w:w="1317" w:type="dxa"/>
            <w:vAlign w:val="center"/>
          </w:tcPr>
          <w:p>
            <w:pPr>
              <w:spacing w:before="40" w:after="40"/>
              <w:rPr>
                <w:rFonts w:eastAsia="黑体"/>
                <w:szCs w:val="21"/>
                <w:lang w:eastAsia="ja-JP"/>
              </w:rPr>
            </w:pPr>
          </w:p>
        </w:tc>
        <w:tc>
          <w:tcPr>
            <w:tcW w:w="1698" w:type="dxa"/>
            <w:vAlign w:val="center"/>
          </w:tcPr>
          <w:p>
            <w:pPr>
              <w:spacing w:before="40" w:after="40"/>
              <w:rPr>
                <w:rFonts w:eastAsia="黑体"/>
                <w:szCs w:val="21"/>
                <w:lang w:eastAsia="ja-JP"/>
              </w:rPr>
            </w:pPr>
          </w:p>
        </w:tc>
        <w:tc>
          <w:tcPr>
            <w:tcW w:w="1774"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21" w:type="dxa"/>
            <w:vAlign w:val="center"/>
          </w:tcPr>
          <w:p>
            <w:pPr>
              <w:spacing w:before="40" w:after="40"/>
              <w:rPr>
                <w:rFonts w:eastAsia="黑体"/>
                <w:szCs w:val="21"/>
                <w:lang w:eastAsia="ja-JP"/>
              </w:rPr>
            </w:pPr>
          </w:p>
        </w:tc>
        <w:tc>
          <w:tcPr>
            <w:tcW w:w="1317" w:type="dxa"/>
            <w:vAlign w:val="center"/>
          </w:tcPr>
          <w:p>
            <w:pPr>
              <w:spacing w:before="40" w:after="40"/>
              <w:rPr>
                <w:rFonts w:eastAsia="黑体"/>
                <w:szCs w:val="21"/>
                <w:lang w:eastAsia="ja-JP"/>
              </w:rPr>
            </w:pPr>
          </w:p>
        </w:tc>
        <w:tc>
          <w:tcPr>
            <w:tcW w:w="1698" w:type="dxa"/>
            <w:vAlign w:val="center"/>
          </w:tcPr>
          <w:p>
            <w:pPr>
              <w:spacing w:before="40" w:after="40"/>
              <w:rPr>
                <w:rFonts w:eastAsia="黑体"/>
                <w:szCs w:val="21"/>
                <w:lang w:eastAsia="ja-JP"/>
              </w:rPr>
            </w:pPr>
          </w:p>
        </w:tc>
        <w:tc>
          <w:tcPr>
            <w:tcW w:w="1774"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7</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5-6</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年7月20</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无限额要哦求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初步定于2022-0</w:t>
            </w:r>
            <w:r>
              <w:rPr>
                <w:rFonts w:hint="eastAsia" w:ascii="宋体"/>
                <w:b/>
                <w:color w:val="000000"/>
                <w:szCs w:val="21"/>
                <w:lang w:val="en-US" w:eastAsia="zh-CN"/>
              </w:rPr>
              <w:t>9</w:t>
            </w:r>
            <w:r>
              <w:rPr>
                <w:rFonts w:hint="eastAsia" w:ascii="宋体"/>
                <w:b/>
                <w:color w:val="000000"/>
                <w:szCs w:val="21"/>
              </w:rPr>
              <w:t>-</w:t>
            </w:r>
            <w:r>
              <w:rPr>
                <w:rFonts w:hint="eastAsia" w:ascii="宋体"/>
                <w:b/>
                <w:color w:val="000000"/>
                <w:szCs w:val="21"/>
                <w:lang w:val="en-US" w:eastAsia="zh-CN"/>
              </w:rPr>
              <w:t>18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27" w:name="_GoBack"/>
            <w:bookmarkEnd w:id="27"/>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sz w:val="22"/>
          <w:szCs w:val="22"/>
          <w:lang w:val="en-US"/>
        </w:rPr>
        <w:drawing>
          <wp:anchor distT="0" distB="0" distL="114300" distR="114300" simplePos="0" relativeHeight="251700224" behindDoc="0" locked="0" layoutInCell="1" allowOverlap="1">
            <wp:simplePos x="0" y="0"/>
            <wp:positionH relativeFrom="column">
              <wp:posOffset>4186555</wp:posOffset>
            </wp:positionH>
            <wp:positionV relativeFrom="paragraph">
              <wp:posOffset>152400</wp:posOffset>
            </wp:positionV>
            <wp:extent cx="702945" cy="633730"/>
            <wp:effectExtent l="0" t="0" r="8255" b="1270"/>
            <wp:wrapSquare wrapText="bothSides"/>
            <wp:docPr id="2" name="图片 2"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56763f4e5bd04306ddf3b9b95cbe3"/>
                    <pic:cNvPicPr>
                      <a:picLocks noChangeAspect="1"/>
                    </pic:cNvPicPr>
                  </pic:nvPicPr>
                  <pic:blipFill>
                    <a:blip r:embed="rId10"/>
                    <a:stretch>
                      <a:fillRect/>
                    </a:stretch>
                  </pic:blipFill>
                  <pic:spPr>
                    <a:xfrm>
                      <a:off x="0" y="0"/>
                      <a:ext cx="702945" cy="6337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702272"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11"/>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hint="default" w:ascii="宋体" w:eastAsia="宋体"/>
          <w:b/>
          <w:color w:val="000000"/>
          <w:szCs w:val="21"/>
          <w:lang w:val="en-US" w:eastAsia="zh-CN"/>
        </w:rPr>
      </w:pPr>
      <w:r>
        <w:drawing>
          <wp:anchor distT="0" distB="0" distL="114300" distR="114300" simplePos="0" relativeHeight="251744256" behindDoc="0" locked="0" layoutInCell="1" allowOverlap="1">
            <wp:simplePos x="0" y="0"/>
            <wp:positionH relativeFrom="column">
              <wp:posOffset>4674870</wp:posOffset>
            </wp:positionH>
            <wp:positionV relativeFrom="paragraph">
              <wp:posOffset>45085</wp:posOffset>
            </wp:positionV>
            <wp:extent cx="765810" cy="252095"/>
            <wp:effectExtent l="0" t="0" r="8890" b="1905"/>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2"/>
                    <a:stretch>
                      <a:fillRect/>
                    </a:stretch>
                  </pic:blipFill>
                  <pic:spPr>
                    <a:xfrm>
                      <a:off x="0" y="0"/>
                      <a:ext cx="765810" cy="25209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hint="default" w:ascii="宋体" w:hAnsi="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2022.9.17                  </w:t>
      </w:r>
    </w:p>
    <w:p>
      <w:pPr>
        <w:ind w:firstLine="843" w:firstLineChars="400"/>
        <w:rPr>
          <w:rFonts w:hint="eastAsia" w:ascii="宋体" w:hAnsi="宋体"/>
          <w:b/>
          <w:color w:val="000000"/>
          <w:szCs w:val="21"/>
          <w:lang w:val="en-US" w:eastAsia="zh-CN"/>
        </w:rPr>
      </w:pPr>
    </w:p>
    <w:p>
      <w:pPr>
        <w:ind w:firstLine="843" w:firstLineChars="400"/>
        <w:rPr>
          <w:rFonts w:hint="eastAsia" w:ascii="宋体" w:hAnsi="宋体"/>
          <w:b/>
          <w:color w:val="000000"/>
          <w:szCs w:val="21"/>
          <w:lang w:val="en-US"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hint="eastAsia" w:eastAsia="隶书" w:cs="Times New Roman"/>
          <w:color w:val="000000"/>
          <w:sz w:val="21"/>
          <w:szCs w:val="21"/>
        </w:rPr>
      </w:pPr>
      <w:r>
        <w:rPr>
          <w:rFonts w:hint="eastAsia" w:eastAsia="隶书"/>
          <w:color w:val="000000"/>
          <w:sz w:val="21"/>
          <w:szCs w:val="21"/>
        </w:rPr>
        <w:t>受审核方：</w:t>
      </w:r>
      <w:r>
        <w:rPr>
          <w:rFonts w:hint="eastAsia" w:eastAsia="隶书" w:cs="Times New Roman"/>
          <w:color w:val="000000"/>
          <w:sz w:val="21"/>
          <w:szCs w:val="21"/>
        </w:rPr>
        <w:t>中国能源建设集团南京线路器材有限公司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8"/>
              <w:pBdr>
                <w:bottom w:val="none" w:color="auto" w:sz="0" w:space="0"/>
              </w:pBdr>
              <w:tabs>
                <w:tab w:val="center" w:pos="5737"/>
                <w:tab w:val="clear" w:pos="4153"/>
              </w:tabs>
              <w:jc w:val="both"/>
              <w:rPr>
                <w:rFonts w:hint="default" w:eastAsia="宋体" w:cs="Times New Roman"/>
                <w:color w:val="000000"/>
                <w:sz w:val="21"/>
                <w:szCs w:val="21"/>
                <w:lang w:val="en-US" w:eastAsia="zh-CN"/>
              </w:rPr>
            </w:pPr>
          </w:p>
        </w:tc>
        <w:tc>
          <w:tcPr>
            <w:tcW w:w="1133" w:type="dxa"/>
            <w:vAlign w:val="center"/>
          </w:tcPr>
          <w:p>
            <w:pPr>
              <w:pStyle w:val="8"/>
              <w:pBdr>
                <w:bottom w:val="none" w:color="auto" w:sz="0" w:space="0"/>
              </w:pBdr>
              <w:ind w:right="600"/>
              <w:jc w:val="both"/>
              <w:rPr>
                <w:rFonts w:hint="default" w:eastAsia="宋体"/>
                <w:color w:val="000000"/>
                <w:sz w:val="21"/>
                <w:szCs w:val="21"/>
                <w:lang w:val="en-US" w:eastAsia="zh-CN"/>
              </w:rPr>
            </w:pPr>
          </w:p>
        </w:tc>
        <w:tc>
          <w:tcPr>
            <w:tcW w:w="934" w:type="dxa"/>
            <w:vAlign w:val="center"/>
          </w:tcPr>
          <w:p>
            <w:pPr>
              <w:pStyle w:val="8"/>
              <w:pBdr>
                <w:bottom w:val="none" w:color="auto" w:sz="0" w:space="0"/>
              </w:pBdr>
              <w:ind w:right="600"/>
              <w:jc w:val="both"/>
              <w:rPr>
                <w:rFonts w:hint="eastAsia" w:eastAsia="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p>
        </w:tc>
        <w:tc>
          <w:tcPr>
            <w:tcW w:w="922"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pStyle w:val="2"/>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17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0AA3459A"/>
    <w:multiLevelType w:val="singleLevel"/>
    <w:tmpl w:val="0AA3459A"/>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FBC1886"/>
    <w:rsid w:val="22014DC0"/>
    <w:rsid w:val="26C07101"/>
    <w:rsid w:val="34D22BCA"/>
    <w:rsid w:val="4177520B"/>
    <w:rsid w:val="686664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qFormat/>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6</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2022-09-23T05:46:10Z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