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b/>
                <w:sz w:val="22"/>
                <w:szCs w:val="22"/>
              </w:rPr>
              <w:t>鑫福传动部件（无锡）有限公司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360"/>
              </w:tabs>
              <w:ind w:left="360" w:hanging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原材料检验→熔炼→浇注→开型→去浇冒口→检验→加工→装配→入库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</w:pPr>
            <w:r>
              <w:drawing>
                <wp:inline distT="0" distB="0" distL="114300" distR="114300">
                  <wp:extent cx="4432300" cy="1384935"/>
                  <wp:effectExtent l="0" t="0" r="0" b="1206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numPr>
                <w:ilvl w:val="0"/>
                <w:numId w:val="0"/>
              </w:numPr>
              <w:ind w:left="1680" w:leftChars="0"/>
            </w:pPr>
          </w:p>
          <w:p>
            <w:pPr>
              <w:pStyle w:val="3"/>
              <w:numPr>
                <w:ilvl w:val="0"/>
                <w:numId w:val="0"/>
              </w:numPr>
            </w:pPr>
            <w:r>
              <w:drawing>
                <wp:inline distT="0" distB="0" distL="114300" distR="114300">
                  <wp:extent cx="4555490" cy="1143635"/>
                  <wp:effectExtent l="0" t="0" r="3810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49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  <w:r>
              <w:drawing>
                <wp:inline distT="0" distB="0" distL="114300" distR="114300">
                  <wp:extent cx="4473575" cy="1172845"/>
                  <wp:effectExtent l="0" t="0" r="9525" b="825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7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-1318260</wp:posOffset>
                  </wp:positionV>
                  <wp:extent cx="4316730" cy="1457960"/>
                  <wp:effectExtent l="0" t="0" r="1270" b="254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73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电力、水、天然气、柴油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主要能源参数等；综合能耗tce；单位产品综合能耗kgce/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t；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单位产值综合能耗kg</w:t>
            </w:r>
            <w:bookmarkStart w:id="1" w:name="_GoBack"/>
            <w:bookmarkEnd w:id="1"/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《中华人民共和国电力法》、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《中华人民共和国节约能源法》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《中华人民共和国可再生能源法》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《国家重点节能技术推广目录（1-6 批）》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</w:t>
            </w: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电力变压器经济运行（GB13462-2008）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综合能耗计算通则GBT2589-2020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用能单位能源计量器具配备与管理通则（GB/T17167-2006）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119-2015 能源管理体系 机械制造企业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等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180340</wp:posOffset>
                  </wp:positionV>
                  <wp:extent cx="680720" cy="330835"/>
                  <wp:effectExtent l="0" t="0" r="5080" b="12065"/>
                  <wp:wrapSquare wrapText="bothSides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7" name="图片 7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331B5"/>
    <w:multiLevelType w:val="singleLevel"/>
    <w:tmpl w:val="643331B5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B2C7DC9"/>
    <w:rsid w:val="2225614D"/>
    <w:rsid w:val="23724257"/>
    <w:rsid w:val="6F7B7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2022-09-20T09:20:04Z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