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rPr>
        <w:t>0686-2019-Q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德阳市辉勇机械有限公司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李林</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德阳市辉勇机械有限公司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四川省德阳市旌阳区城区乡千佛村</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618000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四川省德阳市旌阳区城区乡千佛村</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618000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汪海清</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13038246925</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r>
              <w:rPr>
                <w:rFonts w:ascii="宋体"/>
                <w:b/>
                <w:color w:val="000000"/>
                <w:sz w:val="20"/>
                <w:szCs w:val="20"/>
              </w:rPr>
              <w:t>0838-2870911</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黄仁金</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陈先宁</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617109250@qq.com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2019.05.14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机械零部件的加工</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17.10.02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管理手册、程序文件、管理评审、内部审核等。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highlight w:val="none"/>
        </w:rPr>
      </w:pPr>
      <w:r>
        <w:rPr>
          <w:rFonts w:hint="eastAsia" w:ascii="宋体" w:hAnsi="宋体"/>
          <w:b/>
          <w:color w:val="000000"/>
          <w:sz w:val="20"/>
          <w:szCs w:val="20"/>
          <w:highlight w:val="none"/>
        </w:rPr>
        <w:t>部门：</w:t>
      </w:r>
      <w:r>
        <w:rPr>
          <w:rFonts w:hint="eastAsia" w:ascii="宋体" w:hAnsi="宋体"/>
          <w:b/>
          <w:color w:val="000000"/>
          <w:sz w:val="20"/>
          <w:szCs w:val="20"/>
          <w:highlight w:val="none"/>
          <w:lang w:val="en-US" w:eastAsia="zh-CN"/>
        </w:rPr>
        <w:t>行政部、生产技术部、市场部</w:t>
      </w:r>
    </w:p>
    <w:p>
      <w:pPr>
        <w:spacing w:line="300" w:lineRule="auto"/>
        <w:ind w:firstLine="269" w:firstLineChars="134"/>
        <w:rPr>
          <w:rFonts w:hint="default" w:ascii="宋体" w:eastAsia="宋体"/>
          <w:b/>
          <w:color w:val="000000"/>
          <w:sz w:val="20"/>
          <w:szCs w:val="20"/>
          <w:highlight w:val="none"/>
          <w:u w:val="single"/>
          <w:lang w:val="en-US" w:eastAsia="zh-CN"/>
        </w:rPr>
      </w:pPr>
      <w:r>
        <w:rPr>
          <w:rFonts w:hint="eastAsia" w:ascii="宋体" w:hAnsi="宋体"/>
          <w:b/>
          <w:color w:val="000000"/>
          <w:sz w:val="20"/>
          <w:szCs w:val="20"/>
          <w:highlight w:val="none"/>
        </w:rPr>
        <w:t>场所：</w:t>
      </w:r>
      <w:r>
        <w:rPr>
          <w:rFonts w:hint="eastAsia" w:ascii="宋体" w:hAnsi="宋体"/>
          <w:b/>
          <w:color w:val="000000"/>
          <w:sz w:val="20"/>
          <w:szCs w:val="20"/>
          <w:highlight w:val="none"/>
          <w:lang w:val="en-US" w:eastAsia="zh-CN"/>
        </w:rPr>
        <w:t>办公室、生产现场</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 xml:space="preserve">机械零部件的加工 </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szCs w:val="21"/>
                <w:lang w:val="en-US" w:eastAsia="zh-CN"/>
              </w:rPr>
              <w:t>行政部、生产技术部、市场部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szCs w:val="21"/>
                <w:lang w:val="en-US" w:eastAsia="zh-CN"/>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szCs w:val="21"/>
                <w:lang w:val="en-US" w:eastAsia="zh-CN"/>
              </w:rPr>
              <w:t>生产技术部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bookmarkStart w:id="24" w:name="生产地址"/>
            <w:r>
              <w:t>四川省德阳市旌阳区城区乡千佛村</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四川省德阳市旌阳区城区乡千佛村</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lang w:eastAsia="zh-CN"/>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highlight w:val="none"/>
              </w:rPr>
            </w:pPr>
            <w:r>
              <w:rPr>
                <w:rFonts w:hint="eastAsia" w:ascii="宋体" w:hAnsi="宋体"/>
                <w:color w:val="000000"/>
                <w:sz w:val="20"/>
                <w:szCs w:val="20"/>
                <w:highlight w:val="none"/>
              </w:rPr>
              <w:t>产品生产工艺</w:t>
            </w:r>
            <w:r>
              <w:rPr>
                <w:rFonts w:ascii="宋体" w:hAnsi="宋体"/>
                <w:color w:val="000000"/>
                <w:sz w:val="20"/>
                <w:szCs w:val="20"/>
                <w:highlight w:val="none"/>
              </w:rPr>
              <w:t>/</w:t>
            </w:r>
          </w:p>
          <w:p>
            <w:pPr>
              <w:rPr>
                <w:rFonts w:ascii="宋体"/>
                <w:color w:val="000000"/>
                <w:sz w:val="20"/>
                <w:szCs w:val="20"/>
                <w:highlight w:val="none"/>
              </w:rPr>
            </w:pPr>
            <w:r>
              <w:rPr>
                <w:rFonts w:hint="eastAsia" w:ascii="宋体" w:hAnsi="宋体"/>
                <w:color w:val="000000"/>
                <w:sz w:val="20"/>
                <w:szCs w:val="20"/>
                <w:highlight w:val="none"/>
              </w:rPr>
              <w:t>服务提供流程</w:t>
            </w:r>
          </w:p>
        </w:tc>
        <w:tc>
          <w:tcPr>
            <w:tcW w:w="7427" w:type="dxa"/>
          </w:tcPr>
          <w:p>
            <w:pPr>
              <w:widowControl/>
              <w:spacing w:line="400" w:lineRule="exact"/>
              <w:ind w:left="210" w:hanging="210" w:hangingChars="100"/>
              <w:rPr>
                <w:rFonts w:hint="default" w:ascii="宋体" w:hAnsi="宋体" w:cs="宋体"/>
                <w:sz w:val="21"/>
                <w:szCs w:val="21"/>
                <w:lang w:val="en-US"/>
              </w:rPr>
            </w:pPr>
            <w:r>
              <w:rPr>
                <w:rFonts w:hint="eastAsia" w:ascii="宋体" w:hAnsi="宋体" w:cs="宋体"/>
                <w:sz w:val="21"/>
                <w:szCs w:val="21"/>
                <w:lang w:val="en-US" w:eastAsia="zh-CN"/>
              </w:rPr>
              <w:t>起吊—粗车—半精车—精车—锯料头—起吊</w:t>
            </w:r>
          </w:p>
          <w:p>
            <w:pPr>
              <w:rPr>
                <w:rFonts w:ascii="宋体"/>
                <w:color w:val="000000"/>
                <w:sz w:val="20"/>
                <w:szCs w:val="20"/>
                <w:highlight w:val="none"/>
              </w:rPr>
            </w:pPr>
            <w:bookmarkStart w:id="25" w:name="_GoBack"/>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highlight w:val="none"/>
              </w:rPr>
            </w:pPr>
            <w:r>
              <w:rPr>
                <w:rFonts w:hint="eastAsia" w:ascii="宋体" w:hAnsi="宋体"/>
                <w:color w:val="000000"/>
                <w:spacing w:val="-10"/>
                <w:sz w:val="20"/>
                <w:szCs w:val="20"/>
                <w:highlight w:val="none"/>
              </w:rPr>
              <w:t>关键过程（</w:t>
            </w:r>
            <w:r>
              <w:rPr>
                <w:rFonts w:ascii="宋体" w:hAnsi="宋体"/>
                <w:color w:val="000000"/>
                <w:spacing w:val="-10"/>
                <w:sz w:val="20"/>
                <w:szCs w:val="20"/>
                <w:highlight w:val="none"/>
              </w:rPr>
              <w:t>QMS</w:t>
            </w:r>
            <w:r>
              <w:rPr>
                <w:rFonts w:hint="eastAsia" w:ascii="宋体" w:hAnsi="宋体"/>
                <w:color w:val="000000"/>
                <w:spacing w:val="-10"/>
                <w:sz w:val="20"/>
                <w:szCs w:val="20"/>
                <w:highlight w:val="none"/>
              </w:rPr>
              <w:t>）</w:t>
            </w:r>
          </w:p>
        </w:tc>
        <w:tc>
          <w:tcPr>
            <w:tcW w:w="7427" w:type="dxa"/>
          </w:tcPr>
          <w:p>
            <w:pPr>
              <w:rPr>
                <w:rFonts w:ascii="宋体"/>
                <w:color w:val="000000"/>
                <w:sz w:val="20"/>
                <w:szCs w:val="20"/>
                <w:highlight w:val="none"/>
              </w:rPr>
            </w:pPr>
            <w:r>
              <w:rPr>
                <w:rFonts w:hint="eastAsia" w:ascii="宋体" w:hAnsi="宋体"/>
                <w:color w:val="000000"/>
                <w:sz w:val="20"/>
                <w:szCs w:val="20"/>
                <w:highlight w:val="none"/>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highlight w:val="none"/>
              </w:rPr>
            </w:pPr>
          </w:p>
        </w:tc>
        <w:tc>
          <w:tcPr>
            <w:tcW w:w="7427" w:type="dxa"/>
          </w:tcPr>
          <w:p>
            <w:pPr>
              <w:rPr>
                <w:rFonts w:ascii="宋体"/>
                <w:color w:val="000000"/>
                <w:sz w:val="20"/>
                <w:szCs w:val="20"/>
                <w:highlight w:val="none"/>
              </w:rPr>
            </w:pPr>
            <w:r>
              <w:rPr>
                <w:rFonts w:hint="eastAsia" w:ascii="宋体" w:hAnsi="宋体"/>
                <w:color w:val="000000"/>
                <w:sz w:val="20"/>
                <w:szCs w:val="20"/>
                <w:highlight w:val="none"/>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highlight w:val="none"/>
              </w:rPr>
            </w:pPr>
            <w:r>
              <w:rPr>
                <w:rFonts w:hint="eastAsia" w:ascii="宋体" w:hAnsi="宋体"/>
                <w:color w:val="000000"/>
                <w:sz w:val="20"/>
                <w:szCs w:val="20"/>
                <w:highlight w:val="none"/>
              </w:rPr>
              <w:t>需要确认过程（</w:t>
            </w:r>
            <w:r>
              <w:rPr>
                <w:rFonts w:ascii="宋体" w:hAnsi="宋体"/>
                <w:color w:val="000000"/>
                <w:sz w:val="20"/>
                <w:szCs w:val="20"/>
                <w:highlight w:val="none"/>
              </w:rPr>
              <w:t>QMS</w:t>
            </w:r>
            <w:r>
              <w:rPr>
                <w:rFonts w:hint="eastAsia" w:ascii="宋体" w:hAnsi="宋体"/>
                <w:color w:val="000000"/>
                <w:sz w:val="20"/>
                <w:szCs w:val="20"/>
                <w:highlight w:val="none"/>
              </w:rPr>
              <w:t>）</w:t>
            </w:r>
          </w:p>
        </w:tc>
        <w:tc>
          <w:tcPr>
            <w:tcW w:w="7427" w:type="dxa"/>
          </w:tcPr>
          <w:p>
            <w:pPr>
              <w:rPr>
                <w:rFonts w:hint="default" w:ascii="宋体" w:eastAsia="宋体"/>
                <w:color w:val="000000"/>
                <w:spacing w:val="-10"/>
                <w:sz w:val="20"/>
                <w:szCs w:val="20"/>
                <w:highlight w:val="none"/>
                <w:lang w:val="en-US" w:eastAsia="zh-CN"/>
              </w:rPr>
            </w:pPr>
            <w:r>
              <w:rPr>
                <w:rFonts w:hint="eastAsia" w:ascii="宋体" w:hAnsi="宋体"/>
                <w:color w:val="000000"/>
                <w:sz w:val="20"/>
                <w:szCs w:val="20"/>
                <w:highlight w:val="none"/>
              </w:rPr>
              <w:t>需要确认过程：</w:t>
            </w:r>
            <w:r>
              <w:rPr>
                <w:rFonts w:hint="eastAsia" w:ascii="宋体" w:hAnsi="宋体"/>
                <w:color w:val="000000"/>
                <w:sz w:val="20"/>
                <w:szCs w:val="20"/>
                <w:highlight w:val="none"/>
                <w:lang w:val="en-US" w:eastAsia="zh-CN"/>
              </w:rPr>
              <w:t>焊接过程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highlight w:val="none"/>
              </w:rPr>
            </w:pPr>
          </w:p>
        </w:tc>
        <w:tc>
          <w:tcPr>
            <w:tcW w:w="7427" w:type="dxa"/>
          </w:tcPr>
          <w:p>
            <w:pPr>
              <w:rPr>
                <w:rFonts w:ascii="宋体"/>
                <w:color w:val="000000"/>
                <w:spacing w:val="-10"/>
                <w:sz w:val="20"/>
                <w:szCs w:val="20"/>
                <w:highlight w:val="none"/>
              </w:rPr>
            </w:pPr>
            <w:r>
              <w:rPr>
                <w:rFonts w:hint="eastAsia" w:ascii="宋体" w:hAnsi="宋体"/>
                <w:color w:val="000000"/>
                <w:spacing w:val="-10"/>
                <w:sz w:val="20"/>
                <w:szCs w:val="20"/>
                <w:highlight w:val="none"/>
              </w:rPr>
              <w:t>是</w:t>
            </w:r>
            <w:r>
              <w:rPr>
                <w:rFonts w:hint="eastAsia" w:ascii="宋体"/>
                <w:color w:val="000000"/>
                <w:sz w:val="20"/>
                <w:szCs w:val="20"/>
                <w:highlight w:val="none"/>
              </w:rPr>
              <w:t>否明确了过程的确认方法</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t>是</w:t>
            </w:r>
            <w:r>
              <w:rPr>
                <w:rFonts w:hint="eastAsia" w:ascii="宋体"/>
                <w:color w:val="000000"/>
                <w:sz w:val="20"/>
                <w:szCs w:val="20"/>
                <w:highlight w:val="none"/>
              </w:rPr>
              <w:t>否明确了过程的确认准则</w:t>
            </w: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highlight w:val="none"/>
              </w:rPr>
            </w:pPr>
            <w:r>
              <w:rPr>
                <w:rFonts w:hint="eastAsia" w:ascii="宋体" w:hAnsi="宋体"/>
                <w:color w:val="000000"/>
                <w:spacing w:val="-10"/>
                <w:sz w:val="20"/>
                <w:szCs w:val="20"/>
                <w:highlight w:val="none"/>
              </w:rPr>
              <w:t>外包过程（</w:t>
            </w:r>
            <w:r>
              <w:rPr>
                <w:rFonts w:ascii="宋体" w:hAnsi="宋体"/>
                <w:color w:val="000000"/>
                <w:spacing w:val="-10"/>
                <w:sz w:val="20"/>
                <w:szCs w:val="20"/>
                <w:highlight w:val="none"/>
              </w:rPr>
              <w:t>QMS</w:t>
            </w:r>
            <w:r>
              <w:rPr>
                <w:rFonts w:hint="eastAsia" w:ascii="宋体" w:hAnsi="宋体"/>
                <w:color w:val="000000"/>
                <w:spacing w:val="-10"/>
                <w:sz w:val="20"/>
                <w:szCs w:val="20"/>
                <w:highlight w:val="none"/>
              </w:rPr>
              <w:t>）</w:t>
            </w:r>
          </w:p>
        </w:tc>
        <w:tc>
          <w:tcPr>
            <w:tcW w:w="7427" w:type="dxa"/>
          </w:tcPr>
          <w:p>
            <w:pPr>
              <w:rPr>
                <w:rFonts w:hint="eastAsia" w:ascii="宋体" w:eastAsia="宋体"/>
                <w:color w:val="000000"/>
                <w:spacing w:val="-10"/>
                <w:sz w:val="20"/>
                <w:szCs w:val="20"/>
                <w:highlight w:val="none"/>
                <w:lang w:val="en-US" w:eastAsia="zh-CN"/>
              </w:rPr>
            </w:pPr>
            <w:r>
              <w:rPr>
                <w:rFonts w:hint="eastAsia" w:ascii="宋体" w:hAnsi="宋体"/>
                <w:color w:val="000000"/>
                <w:sz w:val="20"/>
                <w:szCs w:val="20"/>
                <w:highlight w:val="none"/>
              </w:rPr>
              <w:t>外包过程有：</w:t>
            </w:r>
            <w:r>
              <w:rPr>
                <w:rFonts w:hint="eastAsia" w:ascii="宋体" w:hAnsi="宋体"/>
                <w:color w:val="000000"/>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highlight w:val="none"/>
              </w:rPr>
            </w:pPr>
          </w:p>
        </w:tc>
        <w:tc>
          <w:tcPr>
            <w:tcW w:w="7427" w:type="dxa"/>
          </w:tcPr>
          <w:p>
            <w:pPr>
              <w:rPr>
                <w:rFonts w:ascii="宋体"/>
                <w:color w:val="000000"/>
                <w:spacing w:val="-10"/>
                <w:sz w:val="20"/>
                <w:szCs w:val="20"/>
                <w:highlight w:val="none"/>
              </w:rPr>
            </w:pPr>
            <w:r>
              <w:rPr>
                <w:rFonts w:hint="eastAsia" w:ascii="宋体" w:hAnsi="宋体"/>
                <w:color w:val="000000"/>
                <w:sz w:val="20"/>
                <w:szCs w:val="20"/>
                <w:highlight w:val="none"/>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highlight w:val="none"/>
              </w:rPr>
            </w:pPr>
            <w:r>
              <w:rPr>
                <w:rFonts w:hint="eastAsia" w:ascii="宋体" w:hAnsi="宋体"/>
                <w:color w:val="000000"/>
                <w:sz w:val="20"/>
                <w:szCs w:val="20"/>
                <w:highlight w:val="none"/>
              </w:rPr>
              <w:t>主要设备</w:t>
            </w:r>
          </w:p>
        </w:tc>
        <w:tc>
          <w:tcPr>
            <w:tcW w:w="7427" w:type="dxa"/>
          </w:tcPr>
          <w:p>
            <w:pPr>
              <w:rPr>
                <w:rFonts w:ascii="宋体"/>
                <w:color w:val="000000"/>
                <w:spacing w:val="-10"/>
                <w:sz w:val="20"/>
                <w:szCs w:val="20"/>
                <w:highlight w:val="none"/>
              </w:rPr>
            </w:pPr>
            <w:r>
              <w:rPr>
                <w:rFonts w:hint="eastAsia" w:ascii="宋体" w:hAnsi="宋体"/>
                <w:color w:val="000000"/>
                <w:spacing w:val="-10"/>
                <w:sz w:val="20"/>
                <w:szCs w:val="20"/>
                <w:highlight w:val="none"/>
              </w:rPr>
              <w:t>主要设备：</w:t>
            </w:r>
            <w:r>
              <w:rPr>
                <w:rFonts w:hint="eastAsia" w:ascii="宋体" w:hAnsi="宋体" w:cs="宋体"/>
                <w:sz w:val="21"/>
                <w:szCs w:val="21"/>
                <w:highlight w:val="none"/>
                <w:lang w:val="en-US" w:eastAsia="zh-CN"/>
              </w:rPr>
              <w:t>数控重型卧式车床、重卧车床、数控落地式镗铣床、数控双柱立式车床、镗床立式车床、锯床、行车等20余台套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highlight w:val="none"/>
              </w:rPr>
            </w:pPr>
          </w:p>
        </w:tc>
        <w:tc>
          <w:tcPr>
            <w:tcW w:w="7427" w:type="dxa"/>
          </w:tcPr>
          <w:p>
            <w:pPr>
              <w:rPr>
                <w:rFonts w:ascii="宋体"/>
                <w:color w:val="000000"/>
                <w:sz w:val="20"/>
                <w:szCs w:val="20"/>
                <w:highlight w:val="none"/>
              </w:rPr>
            </w:pPr>
            <w:r>
              <w:rPr>
                <w:rFonts w:hint="eastAsia" w:ascii="宋体" w:hAnsi="宋体"/>
                <w:color w:val="000000"/>
                <w:sz w:val="20"/>
                <w:szCs w:val="20"/>
                <w:highlight w:val="none"/>
              </w:rPr>
              <w:t>设备是否满足要求</w:t>
            </w:r>
            <w:r>
              <w:rPr>
                <w:rFonts w:hint="eastAsia" w:ascii="宋体" w:hAnsi="宋体"/>
                <w:color w:val="000000"/>
                <w:sz w:val="20"/>
                <w:szCs w:val="20"/>
                <w:highlight w:val="none"/>
                <w:lang w:eastAsia="zh-CN"/>
              </w:rPr>
              <w:t>☑</w:t>
            </w:r>
            <w:r>
              <w:rPr>
                <w:rFonts w:hint="eastAsia" w:ascii="宋体" w:hAnsi="宋体"/>
                <w:color w:val="000000"/>
                <w:sz w:val="20"/>
                <w:szCs w:val="20"/>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highlight w:val="none"/>
              </w:rPr>
            </w:pPr>
          </w:p>
        </w:tc>
        <w:tc>
          <w:tcPr>
            <w:tcW w:w="7427" w:type="dxa"/>
          </w:tcPr>
          <w:p>
            <w:pPr>
              <w:rPr>
                <w:rFonts w:hint="eastAsia" w:ascii="宋体" w:eastAsia="宋体"/>
                <w:color w:val="000000"/>
                <w:sz w:val="20"/>
                <w:szCs w:val="20"/>
                <w:highlight w:val="none"/>
                <w:lang w:val="en-US" w:eastAsia="zh-CN"/>
              </w:rPr>
            </w:pPr>
            <w:r>
              <w:rPr>
                <w:rFonts w:hint="eastAsia" w:ascii="宋体" w:hAnsi="宋体"/>
                <w:color w:val="000000"/>
                <w:sz w:val="20"/>
                <w:szCs w:val="20"/>
                <w:highlight w:val="none"/>
              </w:rPr>
              <w:t>特种设备：</w:t>
            </w:r>
            <w:r>
              <w:rPr>
                <w:rFonts w:hint="eastAsia" w:ascii="宋体" w:hAnsi="宋体"/>
                <w:color w:val="000000"/>
                <w:sz w:val="20"/>
                <w:szCs w:val="20"/>
                <w:highlight w:val="none"/>
                <w:lang w:val="en-US" w:eastAsia="zh-CN"/>
              </w:rPr>
              <w:t>行车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highlight w:val="none"/>
              </w:rPr>
            </w:pPr>
          </w:p>
        </w:tc>
        <w:tc>
          <w:tcPr>
            <w:tcW w:w="7427" w:type="dxa"/>
          </w:tcPr>
          <w:p>
            <w:pPr>
              <w:rPr>
                <w:rFonts w:ascii="宋体"/>
                <w:color w:val="000000"/>
                <w:sz w:val="20"/>
                <w:szCs w:val="20"/>
                <w:highlight w:val="none"/>
              </w:rPr>
            </w:pPr>
            <w:r>
              <w:rPr>
                <w:rFonts w:hint="eastAsia" w:ascii="宋体" w:hAnsi="宋体"/>
                <w:color w:val="000000"/>
                <w:sz w:val="20"/>
                <w:szCs w:val="20"/>
                <w:highlight w:val="none"/>
              </w:rPr>
              <w:t>特种设备是否按规定检定</w:t>
            </w:r>
            <w:r>
              <w:rPr>
                <w:rFonts w:hint="eastAsia" w:ascii="宋体" w:hAnsi="宋体"/>
                <w:color w:val="000000"/>
                <w:sz w:val="20"/>
                <w:szCs w:val="20"/>
                <w:highlight w:val="none"/>
                <w:lang w:eastAsia="zh-CN"/>
              </w:rPr>
              <w:t>☑</w:t>
            </w:r>
            <w:r>
              <w:rPr>
                <w:rFonts w:hint="eastAsia" w:ascii="宋体" w:hAnsi="宋体"/>
                <w:color w:val="000000"/>
                <w:sz w:val="20"/>
                <w:szCs w:val="20"/>
                <w:highlight w:val="none"/>
              </w:rPr>
              <w:t>是</w:t>
            </w:r>
            <w:r>
              <w:rPr>
                <w:rFonts w:hint="eastAsia" w:ascii="宋体" w:hAnsi="宋体"/>
                <w:color w:val="000000"/>
                <w:sz w:val="20"/>
                <w:szCs w:val="20"/>
                <w:highlight w:val="none"/>
                <w:lang w:eastAsia="zh-CN"/>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highlight w:val="none"/>
              </w:rPr>
            </w:pPr>
            <w:r>
              <w:rPr>
                <w:rFonts w:hint="eastAsia" w:ascii="宋体" w:hAnsi="宋体"/>
                <w:color w:val="000000"/>
                <w:sz w:val="20"/>
                <w:szCs w:val="20"/>
                <w:highlight w:val="none"/>
              </w:rPr>
              <w:t>主要监视和测量</w:t>
            </w:r>
          </w:p>
          <w:p>
            <w:pPr>
              <w:rPr>
                <w:rFonts w:ascii="宋体"/>
                <w:color w:val="000000"/>
                <w:sz w:val="20"/>
                <w:szCs w:val="20"/>
                <w:highlight w:val="none"/>
              </w:rPr>
            </w:pPr>
            <w:r>
              <w:rPr>
                <w:rFonts w:hint="eastAsia" w:ascii="宋体" w:hAnsi="宋体"/>
                <w:color w:val="000000"/>
                <w:sz w:val="20"/>
                <w:szCs w:val="20"/>
                <w:highlight w:val="none"/>
              </w:rPr>
              <w:t>设备</w:t>
            </w:r>
          </w:p>
        </w:tc>
        <w:tc>
          <w:tcPr>
            <w:tcW w:w="7427" w:type="dxa"/>
          </w:tcPr>
          <w:p>
            <w:pPr>
              <w:rPr>
                <w:rFonts w:ascii="宋体"/>
                <w:color w:val="000000"/>
                <w:sz w:val="20"/>
                <w:szCs w:val="20"/>
                <w:highlight w:val="none"/>
              </w:rPr>
            </w:pPr>
            <w:r>
              <w:rPr>
                <w:rFonts w:hint="eastAsia" w:ascii="宋体"/>
                <w:color w:val="000000"/>
                <w:sz w:val="20"/>
                <w:szCs w:val="20"/>
                <w:highlight w:val="none"/>
              </w:rPr>
              <w:t>监视和测量设备（请简述主要监视和测量设备）：</w:t>
            </w:r>
            <w:r>
              <w:rPr>
                <w:rFonts w:hint="eastAsia" w:ascii="宋体" w:hAnsi="宋体" w:cs="宋体"/>
                <w:sz w:val="21"/>
                <w:szCs w:val="21"/>
                <w:highlight w:val="none"/>
                <w:lang w:val="en-US" w:eastAsia="zh-CN"/>
              </w:rPr>
              <w:t>游标卡尺、千分尺、百分表、万能角度尺等40余件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47</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生产技术部</w:t>
            </w:r>
          </w:p>
          <w:p>
            <w:pPr>
              <w:spacing w:line="360" w:lineRule="auto"/>
              <w:rPr>
                <w:rFonts w:ascii="宋体"/>
                <w:b/>
                <w:color w:val="000000"/>
                <w:sz w:val="20"/>
                <w:szCs w:val="20"/>
              </w:rPr>
            </w:pPr>
            <w:r>
              <w:rPr>
                <w:rFonts w:hint="eastAsia" w:ascii="宋体" w:hAnsi="宋体"/>
                <w:b/>
                <w:color w:val="000000"/>
                <w:sz w:val="20"/>
                <w:szCs w:val="20"/>
              </w:rPr>
              <w:t>重点审核过程：外部供应产品和服务的控制</w:t>
            </w:r>
            <w:r>
              <w:rPr>
                <w:rFonts w:hint="eastAsia" w:ascii="宋体" w:hAnsi="宋体"/>
                <w:b/>
                <w:color w:val="000000"/>
                <w:sz w:val="20"/>
                <w:szCs w:val="20"/>
                <w:lang w:eastAsia="zh-CN"/>
              </w:rPr>
              <w:t>、</w:t>
            </w:r>
            <w:r>
              <w:rPr>
                <w:rFonts w:hint="eastAsia" w:ascii="宋体" w:hAnsi="宋体"/>
                <w:b/>
                <w:color w:val="000000"/>
                <w:sz w:val="20"/>
                <w:szCs w:val="20"/>
              </w:rPr>
              <w:t>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rFonts w:hint="default"/>
                <w:szCs w:val="21"/>
                <w:highlight w:val="none"/>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w:t>
            </w:r>
            <w:r>
              <w:rPr>
                <w:rFonts w:hint="eastAsia"/>
                <w:szCs w:val="21"/>
                <w:highlight w:val="none"/>
              </w:rPr>
              <w:t>审核控制程序》，于2019年</w:t>
            </w:r>
            <w:r>
              <w:rPr>
                <w:rFonts w:hint="eastAsia"/>
                <w:szCs w:val="21"/>
                <w:highlight w:val="none"/>
                <w:lang w:val="en-US" w:eastAsia="zh-CN"/>
              </w:rPr>
              <w:t>9</w:t>
            </w:r>
            <w:r>
              <w:rPr>
                <w:rFonts w:hint="eastAsia"/>
                <w:szCs w:val="21"/>
                <w:highlight w:val="none"/>
              </w:rPr>
              <w:t>月</w:t>
            </w:r>
            <w:r>
              <w:rPr>
                <w:rFonts w:hint="eastAsia"/>
                <w:szCs w:val="21"/>
                <w:highlight w:val="none"/>
                <w:lang w:val="en-US" w:eastAsia="zh-CN"/>
              </w:rPr>
              <w:t>25日</w:t>
            </w:r>
            <w:r>
              <w:rPr>
                <w:rFonts w:hint="eastAsia"/>
                <w:szCs w:val="21"/>
                <w:highlight w:val="none"/>
              </w:rPr>
              <w:t>进行了内部审核。内部审核组组成:</w:t>
            </w:r>
            <w:r>
              <w:rPr>
                <w:rFonts w:hint="eastAsia"/>
                <w:szCs w:val="21"/>
                <w:highlight w:val="none"/>
                <w:lang w:val="en-US" w:eastAsia="zh-CN"/>
              </w:rPr>
              <w:t xml:space="preserve">      </w:t>
            </w:r>
            <w:r>
              <w:rPr>
                <w:rFonts w:hint="eastAsia"/>
                <w:szCs w:val="21"/>
                <w:highlight w:val="none"/>
                <w:lang w:eastAsia="zh-CN"/>
              </w:rPr>
              <w:t>组长：</w:t>
            </w:r>
            <w:r>
              <w:rPr>
                <w:rFonts w:hint="eastAsia"/>
                <w:szCs w:val="21"/>
                <w:highlight w:val="none"/>
                <w:lang w:val="en-US" w:eastAsia="zh-CN"/>
              </w:rPr>
              <w:t>陈先宁</w:t>
            </w:r>
          </w:p>
          <w:p>
            <w:pPr>
              <w:spacing w:line="400" w:lineRule="exact"/>
              <w:rPr>
                <w:rFonts w:hint="default"/>
                <w:szCs w:val="21"/>
                <w:lang w:val="en-US"/>
              </w:rPr>
            </w:pPr>
            <w:r>
              <w:rPr>
                <w:rFonts w:hint="eastAsia"/>
                <w:szCs w:val="21"/>
                <w:highlight w:val="none"/>
                <w:lang w:eastAsia="zh-CN"/>
              </w:rPr>
              <w:t xml:space="preserve">   </w:t>
            </w:r>
            <w:r>
              <w:rPr>
                <w:rFonts w:hint="eastAsia"/>
                <w:szCs w:val="21"/>
                <w:highlight w:val="none"/>
                <w:lang w:val="en-US" w:eastAsia="zh-CN"/>
              </w:rPr>
              <w:t xml:space="preserve">                   </w:t>
            </w:r>
            <w:r>
              <w:rPr>
                <w:rFonts w:hint="eastAsia"/>
                <w:szCs w:val="21"/>
                <w:highlight w:val="none"/>
                <w:lang w:eastAsia="zh-CN"/>
              </w:rPr>
              <w:t xml:space="preserve"> 组员：</w:t>
            </w:r>
            <w:r>
              <w:rPr>
                <w:rFonts w:hint="eastAsia"/>
                <w:szCs w:val="21"/>
                <w:highlight w:val="none"/>
                <w:lang w:val="en-US" w:eastAsia="zh-CN"/>
              </w:rPr>
              <w:t>汪海清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szCs w:val="21"/>
              </w:rPr>
            </w:pPr>
            <w:r>
              <w:rPr>
                <w:rFonts w:hint="eastAsia"/>
                <w:szCs w:val="21"/>
              </w:rPr>
              <w:t>审核范围:管理体系涉及的公司所有部门及活动场所。</w:t>
            </w:r>
          </w:p>
          <w:p>
            <w:pPr>
              <w:spacing w:line="400" w:lineRule="exact"/>
              <w:rPr>
                <w:szCs w:val="21"/>
              </w:rPr>
            </w:pPr>
            <w:r>
              <w:rPr>
                <w:rFonts w:hint="eastAsia"/>
                <w:szCs w:val="21"/>
              </w:rPr>
              <w:t>审核准则：a.GB/T 19001:2016、标准； b.本公司管理体系文 件；c.相关的法律法规； d.顾客及相关方要求等。</w:t>
            </w:r>
          </w:p>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szCs w:val="21"/>
              </w:rPr>
            </w:pPr>
            <w:r>
              <w:rPr>
                <w:rFonts w:hint="eastAsia"/>
                <w:szCs w:val="21"/>
              </w:rPr>
              <w:t>本次内审对2015版标准体系文件管理手册、体系文件进行了全面检查，通过审核可以看出管理体系已基本进入了正常状态，但仍存在一些问题，需要完善现场作业及加强各类人员的培训。</w:t>
            </w:r>
          </w:p>
          <w:p>
            <w:pPr>
              <w:spacing w:line="260" w:lineRule="exact"/>
              <w:rPr>
                <w:szCs w:val="21"/>
              </w:rPr>
            </w:pPr>
            <w:r>
              <w:rPr>
                <w:rFonts w:hint="eastAsia"/>
                <w:szCs w:val="21"/>
              </w:rPr>
              <w:t>各部门需要对内审开出的不符合项报告认真整改，并做到举一反三，以点带面，通过纠正预防措施的执行，使管理体系正常而有效运行。</w:t>
            </w:r>
          </w:p>
          <w:p>
            <w:pPr>
              <w:spacing w:line="260" w:lineRule="exact"/>
              <w:rPr>
                <w:rFonts w:ascii="宋体" w:hAnsi="宋体"/>
                <w:b/>
                <w:color w:val="000000"/>
                <w:sz w:val="20"/>
                <w:szCs w:val="20"/>
              </w:rPr>
            </w:pPr>
            <w:r>
              <w:rPr>
                <w:rFonts w:hint="eastAsia"/>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w:t>
            </w:r>
            <w:r>
              <w:rPr>
                <w:rFonts w:hint="eastAsia"/>
                <w:szCs w:val="21"/>
                <w:highlight w:val="none"/>
              </w:rPr>
              <w:t>序》，于</w:t>
            </w:r>
            <w:r>
              <w:rPr>
                <w:rFonts w:hint="eastAsia" w:ascii="宋体" w:hAnsi="宋体"/>
                <w:kern w:val="0"/>
                <w:szCs w:val="21"/>
                <w:highlight w:val="none"/>
              </w:rPr>
              <w:t>2019年</w:t>
            </w:r>
            <w:r>
              <w:rPr>
                <w:rFonts w:hint="eastAsia" w:ascii="宋体" w:hAnsi="宋体"/>
                <w:kern w:val="0"/>
                <w:szCs w:val="21"/>
                <w:highlight w:val="none"/>
                <w:lang w:val="en-US" w:eastAsia="zh-CN"/>
              </w:rPr>
              <w:t>10</w:t>
            </w:r>
            <w:r>
              <w:rPr>
                <w:rFonts w:hint="eastAsia" w:ascii="宋体" w:hAnsi="宋体"/>
                <w:kern w:val="0"/>
                <w:szCs w:val="21"/>
                <w:highlight w:val="none"/>
              </w:rPr>
              <w:t>月</w:t>
            </w:r>
            <w:r>
              <w:rPr>
                <w:rFonts w:hint="eastAsia" w:ascii="宋体" w:hAnsi="宋体"/>
                <w:kern w:val="0"/>
                <w:szCs w:val="21"/>
                <w:highlight w:val="none"/>
                <w:lang w:val="en-US" w:eastAsia="zh-CN"/>
              </w:rPr>
              <w:t>18</w:t>
            </w:r>
            <w:r>
              <w:rPr>
                <w:rFonts w:hint="eastAsia" w:ascii="宋体" w:hAnsi="宋体"/>
                <w:kern w:val="0"/>
                <w:szCs w:val="21"/>
                <w:highlight w:val="none"/>
              </w:rPr>
              <w:t>日</w:t>
            </w:r>
            <w:r>
              <w:rPr>
                <w:rFonts w:hint="eastAsia"/>
                <w:szCs w:val="21"/>
                <w:highlight w:val="none"/>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eastAsia" w:ascii="宋体" w:hAnsi="宋体"/>
          <w:b/>
          <w:color w:val="000000"/>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2020.01.01</w:t>
      </w:r>
    </w:p>
    <w:p>
      <w:pPr>
        <w:ind w:firstLine="5644" w:firstLineChars="2677"/>
        <w:rPr>
          <w:rFonts w:hint="eastAsia" w:ascii="宋体" w:hAnsi="宋体"/>
          <w:b/>
          <w:color w:val="000000"/>
          <w:lang w:val="en-US" w:eastAsia="zh-CN"/>
        </w:rPr>
      </w:pPr>
    </w:p>
    <w:p>
      <w:pPr>
        <w:ind w:firstLine="5644" w:firstLineChars="2677"/>
        <w:rPr>
          <w:rFonts w:hint="default" w:ascii="宋体" w:hAnsi="宋体"/>
          <w:b/>
          <w:color w:val="000000"/>
          <w:lang w:val="en-US" w:eastAsia="zh-CN"/>
        </w:rPr>
      </w:pP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D35225"/>
    <w:rsid w:val="070213AA"/>
    <w:rsid w:val="07296446"/>
    <w:rsid w:val="0A64081C"/>
    <w:rsid w:val="0C491149"/>
    <w:rsid w:val="0D6C68D2"/>
    <w:rsid w:val="146C59FD"/>
    <w:rsid w:val="19C140D2"/>
    <w:rsid w:val="1ABC7E19"/>
    <w:rsid w:val="1E690047"/>
    <w:rsid w:val="21383EA8"/>
    <w:rsid w:val="242C3E25"/>
    <w:rsid w:val="24C054B0"/>
    <w:rsid w:val="33923755"/>
    <w:rsid w:val="366573F4"/>
    <w:rsid w:val="37F454E3"/>
    <w:rsid w:val="3DBF5BC6"/>
    <w:rsid w:val="3F0659B2"/>
    <w:rsid w:val="48D30234"/>
    <w:rsid w:val="49270650"/>
    <w:rsid w:val="4B357401"/>
    <w:rsid w:val="4DC04991"/>
    <w:rsid w:val="5BE8710E"/>
    <w:rsid w:val="5ED50F7C"/>
    <w:rsid w:val="65FF3880"/>
    <w:rsid w:val="67FA1FC4"/>
    <w:rsid w:val="6D372E98"/>
    <w:rsid w:val="6F260EDC"/>
    <w:rsid w:val="6F477833"/>
    <w:rsid w:val="70C15746"/>
    <w:rsid w:val="7E3828BD"/>
    <w:rsid w:val="7E7954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路人甲</cp:lastModifiedBy>
  <dcterms:modified xsi:type="dcterms:W3CDTF">2020-01-04T08:07:18Z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