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4640" cy="9396095"/>
            <wp:effectExtent l="0" t="0" r="10160" b="1905"/>
            <wp:docPr id="1" name="图片 1" descr="审核计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计划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73"/>
        <w:gridCol w:w="145"/>
        <w:gridCol w:w="294"/>
        <w:gridCol w:w="408"/>
        <w:gridCol w:w="272"/>
        <w:gridCol w:w="297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河北启天电子技术有限公司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石家庄桥西区裕华西路乐活时尚广场B座20层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石家庄桥西区裕华西路乐活时尚广场B座20层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李红红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18503222083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合同编号"/>
            <w:r>
              <w:rPr>
                <w:sz w:val="21"/>
                <w:szCs w:val="21"/>
              </w:rPr>
              <w:t>0490-2020-Q-2022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：验证组织管理体系的符合性和持续有效性，以确定是否推荐保持认证注册资格。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计算机软件研发；计算机及外围辅助设备、安防产品的销售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29.12.00;33.02.01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2022年09月19日 上午至2022年09月19日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29.12.00,33.02.01</w:t>
            </w: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</w:tr>
    </w:tbl>
    <w:p/>
    <w:p/>
    <w:p/>
    <w:tbl>
      <w:tblPr>
        <w:tblStyle w:val="6"/>
        <w:tblpPr w:leftFromText="180" w:rightFromText="180" w:vertAnchor="text" w:horzAnchor="page" w:tblpX="917" w:tblpY="386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2022.9.19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售部/技服部：组织的岗位、职责权限；目标；产品和服务要求；生产和服务提供的控制；顾客或外部供方财产；交付后的活动；产品和服务的放行；顾客满意度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5.3/6.2/8.1/8.2/8.5.1/8.5.3/8.5.5/8.6/9.1.2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12:30-14:00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能力、培训；意识；沟通；文件化信息；</w:t>
            </w:r>
            <w:r>
              <w:rPr>
                <w:rFonts w:hint="eastAsia"/>
                <w:color w:val="auto"/>
                <w:sz w:val="21"/>
                <w:szCs w:val="21"/>
              </w:rPr>
              <w:t>外部提供的过程、产品和服务的控制；内部审核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bookmarkStart w:id="27" w:name="_GoBack"/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/7.2/7.3/7.4/7.5/8.4/9.2/10.2</w:t>
            </w:r>
            <w:bookmarkEnd w:id="27"/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8.5.6/8.6/8.7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9967E34"/>
    <w:rsid w:val="6F62052E"/>
    <w:rsid w:val="7A000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6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2022-09-21T08:23:26Z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