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0859-2021-QJEO-2022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启迅建设有限公司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EC:ISC-EC-2021-1178,E:ISC-E-2021-1158,O:ISC-O-2021-1063</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91510132MA63B6NQ6J</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EC:无CNAS标志,E:无CNAS标志,O:无CNAS标志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r>
              <w:rPr>
                <w:rFonts w:hint="eastAsia"/>
                <w:sz w:val="22"/>
                <w:szCs w:val="22"/>
              </w:rPr>
              <w:t>☑ GB/T 19001-2016 idt ISO 9001:2015标准 (不适用：8.3条款)</w:t>
            </w:r>
          </w:p>
          <w:p>
            <w:pPr>
              <w:snapToGrid w:val="0"/>
              <w:spacing w:line="0" w:lineRule="atLeast"/>
              <w:jc w:val="left"/>
              <w:rPr>
                <w:sz w:val="22"/>
                <w:szCs w:val="22"/>
              </w:rPr>
            </w:pPr>
            <w:r>
              <w:rPr>
                <w:rFonts w:hint="eastAsia"/>
                <w:sz w:val="22"/>
                <w:szCs w:val="22"/>
              </w:rPr>
              <w:t>☑ GB/T 50430-2017 (不适用：10.3条款)；</w:t>
            </w:r>
          </w:p>
          <w:p>
            <w:pPr>
              <w:snapToGrid w:val="0"/>
              <w:spacing w:line="0" w:lineRule="atLeast"/>
              <w:jc w:val="left"/>
              <w:rPr>
                <w:sz w:val="22"/>
                <w:szCs w:val="22"/>
              </w:rPr>
            </w:pPr>
            <w:bookmarkStart w:id="6" w:name="E勾选"/>
            <w:r>
              <w:rPr>
                <w:rFonts w:hint="eastAsia"/>
                <w:sz w:val="22"/>
                <w:szCs w:val="22"/>
              </w:rPr>
              <w:t>■</w:t>
            </w:r>
            <w:bookmarkEnd w:id="6"/>
            <w:r>
              <w:rPr>
                <w:rFonts w:hint="eastAsia"/>
                <w:sz w:val="22"/>
                <w:szCs w:val="22"/>
              </w:rPr>
              <w:t xml:space="preserve"> GB/T 24001-2016 idt ISO 14001:2015标准；</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45001:2018标准；</w:t>
            </w:r>
          </w:p>
          <w:p>
            <w:pPr>
              <w:snapToGrid w:val="0"/>
              <w:spacing w:line="0" w:lineRule="atLeast"/>
              <w:jc w:val="left"/>
              <w:rPr>
                <w:sz w:val="22"/>
                <w:szCs w:val="22"/>
              </w:rPr>
            </w:pPr>
            <w:bookmarkStart w:id="8" w:name="EnMS勾选"/>
            <w:r>
              <w:rPr>
                <w:rFonts w:hint="eastAsia"/>
                <w:sz w:val="22"/>
                <w:szCs w:val="22"/>
              </w:rPr>
              <w:t>□</w:t>
            </w:r>
            <w:bookmarkEnd w:id="8"/>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9" w:name="F勾选"/>
            <w:r>
              <w:rPr>
                <w:rFonts w:hint="eastAsia"/>
                <w:sz w:val="22"/>
                <w:szCs w:val="22"/>
              </w:rPr>
              <w:t>□</w:t>
            </w:r>
            <w:bookmarkEnd w:id="9"/>
            <w:r>
              <w:rPr>
                <w:rFonts w:hint="eastAsia"/>
                <w:sz w:val="22"/>
                <w:szCs w:val="22"/>
              </w:rPr>
              <w:t>ISO 22000-2018</w:t>
            </w:r>
          </w:p>
          <w:p>
            <w:pPr>
              <w:snapToGrid w:val="0"/>
              <w:spacing w:line="0" w:lineRule="atLeast"/>
              <w:jc w:val="left"/>
              <w:rPr>
                <w:sz w:val="22"/>
                <w:szCs w:val="22"/>
              </w:rPr>
            </w:pPr>
            <w:bookmarkStart w:id="10" w:name="H勾选"/>
            <w:r>
              <w:rPr>
                <w:rFonts w:hint="eastAsia"/>
                <w:sz w:val="22"/>
                <w:szCs w:val="22"/>
              </w:rPr>
              <w:t>□</w:t>
            </w:r>
            <w:bookmarkEnd w:id="10"/>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1" w:name="体系人数"/>
            <w:r>
              <w:rPr>
                <w:sz w:val="22"/>
                <w:szCs w:val="22"/>
              </w:rPr>
              <w:t>EC:64,E:64,O:64</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2" w:name="初审"/>
            <w:r>
              <w:rPr>
                <w:rFonts w:hint="eastAsia"/>
                <w:b/>
                <w:color w:val="000000" w:themeColor="text1"/>
                <w:spacing w:val="-2"/>
                <w:sz w:val="21"/>
                <w:szCs w:val="21"/>
              </w:rPr>
              <w:t>□</w:t>
            </w:r>
            <w:bookmarkEnd w:id="12"/>
            <w:r>
              <w:rPr>
                <w:rFonts w:hint="eastAsia"/>
                <w:b/>
                <w:color w:val="000000" w:themeColor="text1"/>
                <w:spacing w:val="-2"/>
                <w:sz w:val="21"/>
                <w:szCs w:val="21"/>
              </w:rPr>
              <w:t>初次认证</w:t>
            </w:r>
            <w:bookmarkStart w:id="13" w:name="监督勾选"/>
            <w:r>
              <w:rPr>
                <w:rFonts w:hint="eastAsia"/>
                <w:b/>
                <w:color w:val="000000" w:themeColor="text1"/>
                <w:spacing w:val="-2"/>
                <w:sz w:val="21"/>
                <w:szCs w:val="21"/>
              </w:rPr>
              <w:t>■</w:t>
            </w:r>
            <w:bookmarkEnd w:id="13"/>
            <w:r>
              <w:rPr>
                <w:rFonts w:hint="eastAsia"/>
                <w:b/>
                <w:color w:val="000000" w:themeColor="text1"/>
                <w:spacing w:val="-2"/>
                <w:sz w:val="21"/>
                <w:szCs w:val="21"/>
              </w:rPr>
              <w:t>监督审核</w:t>
            </w:r>
            <w:bookmarkStart w:id="14" w:name="再认证勾选"/>
            <w:r>
              <w:rPr>
                <w:rFonts w:hint="eastAsia"/>
                <w:b/>
                <w:color w:val="000000" w:themeColor="text1"/>
                <w:spacing w:val="-2"/>
                <w:sz w:val="21"/>
                <w:szCs w:val="21"/>
              </w:rPr>
              <w:t>□</w:t>
            </w:r>
            <w:bookmarkEnd w:id="14"/>
            <w:r>
              <w:rPr>
                <w:rFonts w:hint="eastAsia"/>
                <w:b/>
                <w:color w:val="000000" w:themeColor="text1"/>
                <w:spacing w:val="-2"/>
                <w:sz w:val="21"/>
                <w:szCs w:val="21"/>
              </w:rPr>
              <w:t>再认证</w:t>
            </w:r>
            <w:bookmarkStart w:id="15" w:name="特殊审核勾选"/>
            <w:r>
              <w:rPr>
                <w:rFonts w:hint="eastAsia"/>
                <w:b/>
                <w:color w:val="000000" w:themeColor="text1"/>
                <w:spacing w:val="-2"/>
                <w:sz w:val="21"/>
                <w:szCs w:val="21"/>
              </w:rPr>
              <w:t>□</w:t>
            </w:r>
            <w:bookmarkEnd w:id="15"/>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vAlign w:val="center"/>
          </w:tcPr>
          <w:p>
            <w:pPr>
              <w:snapToGrid w:val="0"/>
              <w:spacing w:line="0" w:lineRule="atLeast"/>
              <w:jc w:val="center"/>
              <w:rPr>
                <w:sz w:val="22"/>
                <w:szCs w:val="22"/>
                <w:highlight w:val="none"/>
                <w:lang w:val="en-GB"/>
              </w:rPr>
            </w:pPr>
            <w:r>
              <w:rPr>
                <w:rFonts w:hint="eastAsia"/>
                <w:sz w:val="22"/>
                <w:szCs w:val="22"/>
                <w:highlight w:val="none"/>
                <w:lang w:val="en-GB"/>
              </w:rPr>
              <w:t>公司名称</w:t>
            </w:r>
          </w:p>
          <w:p>
            <w:pPr>
              <w:snapToGrid w:val="0"/>
              <w:spacing w:line="0" w:lineRule="atLeast"/>
              <w:jc w:val="center"/>
              <w:rPr>
                <w:sz w:val="22"/>
                <w:szCs w:val="22"/>
                <w:highlight w:val="none"/>
              </w:rPr>
            </w:pPr>
          </w:p>
        </w:tc>
        <w:tc>
          <w:tcPr>
            <w:tcW w:w="3373" w:type="dxa"/>
            <w:vMerge w:val="restart"/>
            <w:vAlign w:val="center"/>
          </w:tcPr>
          <w:p>
            <w:pPr>
              <w:snapToGrid w:val="0"/>
              <w:spacing w:line="0" w:lineRule="atLeast"/>
              <w:jc w:val="center"/>
              <w:rPr>
                <w:sz w:val="22"/>
                <w:szCs w:val="22"/>
                <w:highlight w:val="none"/>
              </w:rPr>
            </w:pPr>
            <w:bookmarkStart w:id="16" w:name="组织名称Add1"/>
            <w:r>
              <w:rPr>
                <w:rFonts w:hint="eastAsia"/>
                <w:sz w:val="22"/>
                <w:szCs w:val="22"/>
                <w:highlight w:val="none"/>
              </w:rPr>
              <w:t>启迅建设有限公司</w:t>
            </w:r>
            <w:bookmarkEnd w:id="16"/>
          </w:p>
          <w:p>
            <w:pPr>
              <w:snapToGrid w:val="0"/>
              <w:spacing w:line="0" w:lineRule="atLeast"/>
              <w:jc w:val="center"/>
              <w:rPr>
                <w:sz w:val="22"/>
                <w:szCs w:val="22"/>
                <w:highlight w:val="none"/>
                <w:lang w:val="en-GB"/>
              </w:rPr>
            </w:pPr>
          </w:p>
        </w:tc>
        <w:tc>
          <w:tcPr>
            <w:tcW w:w="5013" w:type="dxa"/>
            <w:gridSpan w:val="4"/>
            <w:vMerge w:val="restart"/>
          </w:tcPr>
          <w:p>
            <w:pPr>
              <w:snapToGrid w:val="0"/>
              <w:spacing w:line="0" w:lineRule="atLeast"/>
              <w:jc w:val="left"/>
              <w:rPr>
                <w:sz w:val="22"/>
                <w:szCs w:val="22"/>
                <w:highlight w:val="none"/>
              </w:rPr>
            </w:pPr>
            <w:bookmarkStart w:id="17" w:name="审核范围"/>
            <w:r>
              <w:rPr>
                <w:sz w:val="22"/>
                <w:szCs w:val="22"/>
                <w:highlight w:val="none"/>
              </w:rPr>
              <w:t>EC：资质范围内的市政工程施工、防水防腐保温工程施工、建筑工程施工总承包</w:t>
            </w:r>
          </w:p>
          <w:p>
            <w:pPr>
              <w:snapToGrid w:val="0"/>
              <w:spacing w:line="0" w:lineRule="atLeast"/>
              <w:jc w:val="left"/>
              <w:rPr>
                <w:sz w:val="22"/>
                <w:szCs w:val="22"/>
                <w:highlight w:val="none"/>
              </w:rPr>
            </w:pPr>
            <w:r>
              <w:rPr>
                <w:sz w:val="22"/>
                <w:szCs w:val="22"/>
                <w:highlight w:val="none"/>
              </w:rPr>
              <w:t>E：资质范围内的市政工程施工、防水防腐保温工程施工、建筑工程施工总承包所涉及场所的相关环境管理活动</w:t>
            </w:r>
          </w:p>
          <w:p>
            <w:pPr>
              <w:snapToGrid w:val="0"/>
              <w:spacing w:line="0" w:lineRule="atLeast"/>
              <w:jc w:val="left"/>
              <w:rPr>
                <w:sz w:val="22"/>
                <w:szCs w:val="22"/>
                <w:highlight w:val="none"/>
              </w:rPr>
            </w:pPr>
            <w:r>
              <w:rPr>
                <w:sz w:val="22"/>
                <w:szCs w:val="22"/>
                <w:highlight w:val="none"/>
              </w:rPr>
              <w:t>O：资质范围内的市政工程施工、防水防腐保温工程施工、建筑工程施工总承包所涉及场所的相关职业健康安全管理活动</w:t>
            </w:r>
            <w:bookmarkEnd w:id="17"/>
          </w:p>
          <w:p>
            <w:pPr>
              <w:snapToGrid w:val="0"/>
              <w:spacing w:line="0" w:lineRule="atLeast"/>
              <w:jc w:val="left"/>
              <w:rPr>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vAlign w:val="center"/>
          </w:tcPr>
          <w:p>
            <w:pPr>
              <w:snapToGrid w:val="0"/>
              <w:spacing w:line="0" w:lineRule="atLeast"/>
              <w:jc w:val="center"/>
              <w:rPr>
                <w:sz w:val="22"/>
                <w:szCs w:val="22"/>
                <w:highlight w:val="none"/>
                <w:lang w:val="en-GB"/>
              </w:rPr>
            </w:pPr>
            <w:r>
              <w:rPr>
                <w:rFonts w:hint="eastAsia"/>
                <w:sz w:val="22"/>
                <w:szCs w:val="22"/>
                <w:highlight w:val="none"/>
                <w:lang w:val="en-GB"/>
              </w:rPr>
              <w:t>注册地址</w:t>
            </w:r>
          </w:p>
        </w:tc>
        <w:tc>
          <w:tcPr>
            <w:tcW w:w="3373" w:type="dxa"/>
            <w:vAlign w:val="center"/>
          </w:tcPr>
          <w:p>
            <w:pPr>
              <w:snapToGrid w:val="0"/>
              <w:spacing w:line="0" w:lineRule="atLeast"/>
              <w:jc w:val="center"/>
              <w:rPr>
                <w:sz w:val="22"/>
                <w:szCs w:val="22"/>
                <w:highlight w:val="none"/>
                <w:lang w:val="en-GB"/>
              </w:rPr>
            </w:pPr>
            <w:bookmarkStart w:id="18" w:name="注册地址"/>
            <w:r>
              <w:rPr>
                <w:rFonts w:hint="eastAsia"/>
                <w:sz w:val="22"/>
                <w:szCs w:val="22"/>
                <w:highlight w:val="none"/>
                <w:lang w:val="en-GB"/>
              </w:rPr>
              <w:t>四川省成都市锦江区静沙南路29号7栋6层604号</w:t>
            </w:r>
            <w:bookmarkEnd w:id="18"/>
          </w:p>
          <w:p>
            <w:pPr>
              <w:snapToGrid w:val="0"/>
              <w:spacing w:line="0" w:lineRule="atLeast"/>
              <w:jc w:val="center"/>
              <w:rPr>
                <w:sz w:val="22"/>
                <w:szCs w:val="22"/>
                <w:highlight w:val="none"/>
              </w:rPr>
            </w:pPr>
          </w:p>
        </w:tc>
        <w:tc>
          <w:tcPr>
            <w:tcW w:w="5013" w:type="dxa"/>
            <w:gridSpan w:val="4"/>
            <w:vMerge w:val="continue"/>
          </w:tcPr>
          <w:p>
            <w:pPr>
              <w:snapToGrid w:val="0"/>
              <w:spacing w:line="0" w:lineRule="atLeast"/>
              <w:jc w:val="left"/>
              <w:rPr>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576" w:type="dxa"/>
            <w:vAlign w:val="center"/>
          </w:tcPr>
          <w:p>
            <w:pPr>
              <w:snapToGrid w:val="0"/>
              <w:spacing w:line="0" w:lineRule="atLeast"/>
              <w:jc w:val="center"/>
              <w:rPr>
                <w:sz w:val="22"/>
                <w:szCs w:val="22"/>
                <w:highlight w:val="none"/>
                <w:lang w:val="en-GB"/>
              </w:rPr>
            </w:pPr>
            <w:r>
              <w:rPr>
                <w:rFonts w:hint="eastAsia"/>
                <w:sz w:val="22"/>
                <w:szCs w:val="22"/>
                <w:highlight w:val="none"/>
                <w:lang w:val="en-GB"/>
              </w:rPr>
              <w:t>经营地址</w:t>
            </w:r>
          </w:p>
          <w:p>
            <w:pPr>
              <w:snapToGrid w:val="0"/>
              <w:spacing w:line="0" w:lineRule="atLeast"/>
              <w:jc w:val="center"/>
              <w:rPr>
                <w:sz w:val="22"/>
                <w:szCs w:val="22"/>
                <w:highlight w:val="none"/>
                <w:lang w:val="en-GB"/>
              </w:rPr>
            </w:pPr>
          </w:p>
        </w:tc>
        <w:tc>
          <w:tcPr>
            <w:tcW w:w="3373" w:type="dxa"/>
            <w:vAlign w:val="center"/>
          </w:tcPr>
          <w:p>
            <w:pPr>
              <w:snapToGrid w:val="0"/>
              <w:spacing w:line="0" w:lineRule="atLeast"/>
              <w:jc w:val="center"/>
              <w:rPr>
                <w:sz w:val="22"/>
                <w:szCs w:val="22"/>
                <w:highlight w:val="none"/>
                <w:lang w:val="en-GB"/>
              </w:rPr>
            </w:pPr>
            <w:bookmarkStart w:id="19" w:name="办公地址"/>
            <w:r>
              <w:rPr>
                <w:rFonts w:hint="eastAsia"/>
                <w:sz w:val="22"/>
                <w:szCs w:val="22"/>
                <w:highlight w:val="none"/>
                <w:lang w:val="en-GB"/>
              </w:rPr>
              <w:t>四川省成都市锦江区静沙南路29号7栋6层604号</w:t>
            </w:r>
            <w:bookmarkEnd w:id="19"/>
          </w:p>
          <w:p>
            <w:pPr>
              <w:snapToGrid w:val="0"/>
              <w:spacing w:line="0" w:lineRule="atLeast"/>
              <w:jc w:val="center"/>
              <w:rPr>
                <w:sz w:val="22"/>
                <w:szCs w:val="22"/>
                <w:highlight w:val="none"/>
              </w:rPr>
            </w:pPr>
          </w:p>
        </w:tc>
        <w:tc>
          <w:tcPr>
            <w:tcW w:w="5013" w:type="dxa"/>
            <w:gridSpan w:val="4"/>
            <w:vMerge w:val="continue"/>
          </w:tcPr>
          <w:p>
            <w:pPr>
              <w:snapToGrid w:val="0"/>
              <w:spacing w:line="0" w:lineRule="atLeast"/>
              <w:jc w:val="left"/>
              <w:rPr>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vAlign w:val="center"/>
          </w:tcPr>
          <w:p>
            <w:pPr>
              <w:snapToGrid w:val="0"/>
              <w:spacing w:line="0" w:lineRule="atLeast"/>
              <w:jc w:val="center"/>
              <w:rPr>
                <w:sz w:val="22"/>
                <w:szCs w:val="22"/>
                <w:highlight w:val="yellow"/>
              </w:rPr>
            </w:pPr>
            <w:r>
              <w:rPr>
                <w:rFonts w:cs="Arial"/>
                <w:b/>
                <w:bCs/>
                <w:sz w:val="22"/>
                <w:szCs w:val="16"/>
                <w:highlight w:val="none"/>
              </w:rPr>
              <w:t>Company Name</w:t>
            </w:r>
            <w:r>
              <w:rPr>
                <w:rFonts w:hint="eastAsia"/>
                <w:sz w:val="22"/>
                <w:szCs w:val="22"/>
                <w:highlight w:val="none"/>
                <w:lang w:val="en-GB"/>
              </w:rPr>
              <w:t>公司名称</w:t>
            </w:r>
          </w:p>
        </w:tc>
        <w:tc>
          <w:tcPr>
            <w:tcW w:w="3373" w:type="dxa"/>
            <w:vMerge w:val="restart"/>
            <w:vAlign w:val="center"/>
          </w:tcPr>
          <w:p>
            <w:pPr>
              <w:snapToGrid w:val="0"/>
              <w:spacing w:line="0" w:lineRule="atLeast"/>
              <w:jc w:val="center"/>
              <w:rPr>
                <w:sz w:val="22"/>
                <w:szCs w:val="22"/>
                <w:highlight w:val="yellow"/>
              </w:rPr>
            </w:pPr>
            <w:r>
              <w:rPr>
                <w:sz w:val="22"/>
                <w:szCs w:val="22"/>
                <w:lang w:val="en-GB"/>
              </w:rPr>
              <w:t>Qixun Construction Co., Ltd</w:t>
            </w:r>
          </w:p>
        </w:tc>
        <w:tc>
          <w:tcPr>
            <w:tcW w:w="1337" w:type="dxa"/>
          </w:tcPr>
          <w:p>
            <w:pPr>
              <w:snapToGrid w:val="0"/>
              <w:spacing w:line="0" w:lineRule="atLeast"/>
              <w:jc w:val="left"/>
              <w:rPr>
                <w:sz w:val="22"/>
                <w:szCs w:val="22"/>
                <w:highlight w:val="yellow"/>
              </w:rPr>
            </w:pPr>
            <w:r>
              <w:rPr>
                <w:rFonts w:hint="eastAsia"/>
                <w:sz w:val="22"/>
                <w:szCs w:val="22"/>
                <w:highlight w:val="none"/>
              </w:rPr>
              <w:t>QMS/EcMS</w:t>
            </w:r>
          </w:p>
        </w:tc>
        <w:tc>
          <w:tcPr>
            <w:tcW w:w="3676" w:type="dxa"/>
            <w:gridSpan w:val="3"/>
          </w:tcPr>
          <w:p>
            <w:pPr>
              <w:snapToGrid w:val="0"/>
              <w:spacing w:line="0" w:lineRule="atLeast"/>
              <w:jc w:val="left"/>
              <w:rPr>
                <w:sz w:val="22"/>
                <w:szCs w:val="22"/>
                <w:highlight w:val="yellow"/>
              </w:rPr>
            </w:pPr>
            <w:r>
              <w:rPr>
                <w:sz w:val="22"/>
                <w:szCs w:val="22"/>
              </w:rPr>
              <w:t>general contractor of municipal engineering construction, waterproof, anticorrosive and thermal insulation engineering construction, and construction engineering construction within the scope of qualification</w:t>
            </w:r>
          </w:p>
          <w:p>
            <w:pPr>
              <w:snapToGrid w:val="0"/>
              <w:spacing w:line="0" w:lineRule="atLeast"/>
              <w:jc w:val="left"/>
              <w:rPr>
                <w:sz w:val="21"/>
                <w:szCs w:val="16"/>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highlight w:val="yellow"/>
              </w:rPr>
            </w:pPr>
          </w:p>
        </w:tc>
        <w:tc>
          <w:tcPr>
            <w:tcW w:w="3373" w:type="dxa"/>
            <w:vMerge w:val="continue"/>
          </w:tcPr>
          <w:p>
            <w:pPr>
              <w:snapToGrid w:val="0"/>
              <w:spacing w:line="0" w:lineRule="atLeast"/>
              <w:jc w:val="left"/>
              <w:rPr>
                <w:rFonts w:cs="Arial"/>
                <w:b/>
                <w:bCs/>
                <w:sz w:val="22"/>
                <w:szCs w:val="16"/>
                <w:highlight w:val="yellow"/>
              </w:rPr>
            </w:pPr>
          </w:p>
        </w:tc>
        <w:tc>
          <w:tcPr>
            <w:tcW w:w="1337" w:type="dxa"/>
          </w:tcPr>
          <w:p>
            <w:pPr>
              <w:snapToGrid w:val="0"/>
              <w:spacing w:line="0" w:lineRule="atLeast"/>
              <w:jc w:val="left"/>
              <w:rPr>
                <w:sz w:val="22"/>
                <w:szCs w:val="22"/>
                <w:highlight w:val="yellow"/>
              </w:rPr>
            </w:pPr>
            <w:r>
              <w:rPr>
                <w:rFonts w:hint="eastAsia"/>
                <w:sz w:val="22"/>
                <w:szCs w:val="22"/>
                <w:highlight w:val="none"/>
              </w:rPr>
              <w:t>EMS</w:t>
            </w:r>
          </w:p>
        </w:tc>
        <w:tc>
          <w:tcPr>
            <w:tcW w:w="3676" w:type="dxa"/>
            <w:gridSpan w:val="3"/>
          </w:tcPr>
          <w:p>
            <w:pPr>
              <w:snapToGrid w:val="0"/>
              <w:spacing w:line="0" w:lineRule="atLeast"/>
              <w:jc w:val="left"/>
              <w:rPr>
                <w:sz w:val="22"/>
                <w:szCs w:val="22"/>
                <w:highlight w:val="yellow"/>
              </w:rPr>
            </w:pPr>
            <w:r>
              <w:rPr>
                <w:sz w:val="22"/>
                <w:szCs w:val="22"/>
              </w:rPr>
              <w:t>Related environmental management activities of the sites involved in municipal engineering construction, waterproof, anticorrosive and thermal insulation engineering construction, and general contracting of construction projects within the scope of qualification</w:t>
            </w:r>
          </w:p>
          <w:p>
            <w:pPr>
              <w:snapToGrid w:val="0"/>
              <w:spacing w:line="0" w:lineRule="atLeast"/>
              <w:jc w:val="left"/>
              <w:rPr>
                <w:sz w:val="21"/>
                <w:szCs w:val="16"/>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vAlign w:val="center"/>
          </w:tcPr>
          <w:p>
            <w:pPr>
              <w:snapToGrid w:val="0"/>
              <w:spacing w:line="0" w:lineRule="atLeast"/>
              <w:jc w:val="center"/>
              <w:rPr>
                <w:sz w:val="22"/>
                <w:szCs w:val="22"/>
                <w:highlight w:val="none"/>
              </w:rPr>
            </w:pPr>
            <w:r>
              <w:rPr>
                <w:sz w:val="22"/>
                <w:szCs w:val="16"/>
                <w:highlight w:val="none"/>
              </w:rPr>
              <w:fldChar w:fldCharType="begin"/>
            </w:r>
            <w:r>
              <w:rPr>
                <w:sz w:val="22"/>
                <w:szCs w:val="16"/>
                <w:highlight w:val="none"/>
                <w:lang w:val="en-GB"/>
              </w:rPr>
              <w:instrText xml:space="preserve"> STYLEREF TM_street \* MERGEFORMAT </w:instrText>
            </w:r>
            <w:r>
              <w:rPr>
                <w:sz w:val="22"/>
                <w:szCs w:val="16"/>
                <w:highlight w:val="none"/>
              </w:rPr>
              <w:fldChar w:fldCharType="end"/>
            </w:r>
            <w:r>
              <w:rPr>
                <w:rFonts w:cs="Arial"/>
                <w:b/>
                <w:bCs/>
                <w:sz w:val="22"/>
                <w:szCs w:val="16"/>
                <w:highlight w:val="none"/>
              </w:rPr>
              <w:t>Registration Address</w:t>
            </w:r>
            <w:r>
              <w:rPr>
                <w:rFonts w:hint="eastAsia"/>
                <w:sz w:val="22"/>
                <w:szCs w:val="22"/>
                <w:highlight w:val="none"/>
                <w:lang w:val="en-GB"/>
              </w:rPr>
              <w:t>注册地址</w:t>
            </w:r>
          </w:p>
        </w:tc>
        <w:tc>
          <w:tcPr>
            <w:tcW w:w="3373" w:type="dxa"/>
            <w:vMerge w:val="restart"/>
            <w:vAlign w:val="center"/>
          </w:tcPr>
          <w:p>
            <w:pPr>
              <w:snapToGrid w:val="0"/>
              <w:spacing w:line="0" w:lineRule="atLeast"/>
              <w:jc w:val="center"/>
              <w:rPr>
                <w:sz w:val="22"/>
                <w:szCs w:val="22"/>
                <w:highlight w:val="yellow"/>
              </w:rPr>
            </w:pPr>
            <w:r>
              <w:rPr>
                <w:rFonts w:hint="eastAsia"/>
                <w:sz w:val="22"/>
                <w:szCs w:val="22"/>
              </w:rPr>
              <w:t>No. 604, floor 6, building 7, No. 29, Jingsha South Road, Jinjiang District, Chengdu, Sich</w:t>
            </w:r>
            <w:bookmarkStart w:id="20" w:name="_GoBack"/>
            <w:bookmarkEnd w:id="20"/>
            <w:r>
              <w:rPr>
                <w:rFonts w:hint="eastAsia"/>
                <w:sz w:val="22"/>
                <w:szCs w:val="22"/>
              </w:rPr>
              <w:t>uan</w:t>
            </w:r>
          </w:p>
        </w:tc>
        <w:tc>
          <w:tcPr>
            <w:tcW w:w="1337" w:type="dxa"/>
            <w:vAlign w:val="center"/>
          </w:tcPr>
          <w:p>
            <w:pPr>
              <w:snapToGrid w:val="0"/>
              <w:spacing w:line="0" w:lineRule="atLeast"/>
              <w:jc w:val="center"/>
              <w:rPr>
                <w:sz w:val="22"/>
                <w:szCs w:val="22"/>
                <w:highlight w:val="yellow"/>
              </w:rPr>
            </w:pPr>
            <w:r>
              <w:rPr>
                <w:rFonts w:hint="eastAsia"/>
                <w:sz w:val="22"/>
                <w:szCs w:val="22"/>
                <w:highlight w:val="none"/>
              </w:rPr>
              <w:t>OHSMS</w:t>
            </w:r>
          </w:p>
        </w:tc>
        <w:tc>
          <w:tcPr>
            <w:tcW w:w="3676" w:type="dxa"/>
            <w:gridSpan w:val="3"/>
          </w:tcPr>
          <w:p>
            <w:pPr>
              <w:snapToGrid w:val="0"/>
              <w:spacing w:line="0" w:lineRule="atLeast"/>
              <w:jc w:val="left"/>
              <w:rPr>
                <w:sz w:val="22"/>
                <w:szCs w:val="22"/>
                <w:highlight w:val="yellow"/>
              </w:rPr>
            </w:pPr>
            <w:r>
              <w:rPr>
                <w:sz w:val="22"/>
                <w:szCs w:val="22"/>
              </w:rPr>
              <w:t>Occupational health and safety management activities of municipal engineering construction, waterproof, anticorrosive and thermal insulation engineering construction, and general contracting sites of construction projects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highlight w:val="none"/>
              </w:rPr>
            </w:pPr>
          </w:p>
        </w:tc>
        <w:tc>
          <w:tcPr>
            <w:tcW w:w="3373" w:type="dxa"/>
            <w:vMerge w:val="continue"/>
          </w:tcPr>
          <w:p>
            <w:pPr>
              <w:snapToGrid w:val="0"/>
              <w:spacing w:line="0" w:lineRule="atLeast"/>
              <w:jc w:val="left"/>
              <w:rPr>
                <w:rFonts w:cs="Arial"/>
                <w:b/>
                <w:bCs/>
                <w:sz w:val="22"/>
                <w:szCs w:val="16"/>
                <w:highlight w:val="yellow"/>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highlight w:val="none"/>
                <w:lang w:val="en-GB"/>
              </w:rPr>
            </w:pPr>
            <w:r>
              <w:rPr>
                <w:rFonts w:cs="Arial"/>
                <w:b/>
                <w:bCs/>
                <w:sz w:val="22"/>
                <w:szCs w:val="16"/>
                <w:highlight w:val="none"/>
              </w:rPr>
              <w:t>Operation Address</w:t>
            </w:r>
            <w:r>
              <w:rPr>
                <w:rFonts w:hint="eastAsia"/>
                <w:sz w:val="22"/>
                <w:szCs w:val="22"/>
                <w:highlight w:val="none"/>
              </w:rPr>
              <w:t>经营</w:t>
            </w:r>
            <w:r>
              <w:rPr>
                <w:rFonts w:hint="eastAsia"/>
                <w:sz w:val="22"/>
                <w:szCs w:val="22"/>
                <w:highlight w:val="none"/>
                <w:lang w:val="en-GB"/>
              </w:rPr>
              <w:t>地址</w:t>
            </w:r>
          </w:p>
        </w:tc>
        <w:tc>
          <w:tcPr>
            <w:tcW w:w="3373" w:type="dxa"/>
            <w:vMerge w:val="restart"/>
          </w:tcPr>
          <w:p>
            <w:pPr>
              <w:snapToGrid w:val="0"/>
              <w:spacing w:line="0" w:lineRule="atLeast"/>
              <w:jc w:val="left"/>
              <w:rPr>
                <w:sz w:val="22"/>
                <w:szCs w:val="22"/>
                <w:highlight w:val="yellow"/>
              </w:rPr>
            </w:pPr>
            <w:r>
              <w:rPr>
                <w:rFonts w:hint="eastAsia"/>
                <w:sz w:val="22"/>
                <w:szCs w:val="22"/>
              </w:rPr>
              <w:t>No. 604, floor 6, building 7, No. 29, Jingsha South Road, Jinjiang District, Chengdu, Sichuan</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drawing>
                <wp:anchor distT="0" distB="0" distL="114300" distR="114300" simplePos="0" relativeHeight="251661312" behindDoc="0" locked="0" layoutInCell="1" allowOverlap="1">
                  <wp:simplePos x="0" y="0"/>
                  <wp:positionH relativeFrom="column">
                    <wp:posOffset>100965</wp:posOffset>
                  </wp:positionH>
                  <wp:positionV relativeFrom="paragraph">
                    <wp:posOffset>93980</wp:posOffset>
                  </wp:positionV>
                  <wp:extent cx="371475" cy="341630"/>
                  <wp:effectExtent l="0" t="0" r="9525" b="127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5" cstate="print"/>
                          <a:srcRect/>
                          <a:stretch>
                            <a:fillRect/>
                          </a:stretch>
                        </pic:blipFill>
                        <pic:spPr>
                          <a:xfrm>
                            <a:off x="0" y="0"/>
                            <a:ext cx="371475" cy="341630"/>
                          </a:xfrm>
                          <a:prstGeom prst="rect">
                            <a:avLst/>
                          </a:prstGeom>
                          <a:noFill/>
                          <a:ln w="9525">
                            <a:noFill/>
                            <a:miter lim="800000"/>
                            <a:headEnd/>
                            <a:tailEnd/>
                          </a:ln>
                        </pic:spPr>
                      </pic:pic>
                    </a:graphicData>
                  </a:graphic>
                </wp:anchor>
              </w:drawing>
            </w: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b/>
          <w:color w:val="000000" w:themeColor="text1"/>
          <w:sz w:val="18"/>
          <w:szCs w:val="18"/>
          <w:lang w:val="en-GB"/>
        </w:rPr>
      </w:pPr>
      <w:r>
        <w:rPr>
          <w:rFonts w:hint="eastAsia"/>
        </w:rPr>
        <w:t>7、翻译费用可直接与审核费用一同汇入我公司账户或由审核组长从现场带回。</w:t>
      </w: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FmNDE1OTA0NjMzMTc3MjRkMDFmMDVlMjFhNzg3YjQifQ=="/>
  </w:docVars>
  <w:rsids>
    <w:rsidRoot w:val="00402AAB"/>
    <w:rsid w:val="000445BE"/>
    <w:rsid w:val="00062B0D"/>
    <w:rsid w:val="00066849"/>
    <w:rsid w:val="000E48E8"/>
    <w:rsid w:val="00402AAB"/>
    <w:rsid w:val="0081103A"/>
    <w:rsid w:val="00A12F69"/>
    <w:rsid w:val="00D17070"/>
    <w:rsid w:val="00F26FF4"/>
    <w:rsid w:val="07243309"/>
    <w:rsid w:val="089D7C92"/>
    <w:rsid w:val="0D8458C4"/>
    <w:rsid w:val="2059498F"/>
    <w:rsid w:val="347A37B0"/>
    <w:rsid w:val="4CC34DBA"/>
    <w:rsid w:val="50C311DF"/>
    <w:rsid w:val="53832F3F"/>
    <w:rsid w:val="54AF6350"/>
    <w:rsid w:val="57AE0913"/>
    <w:rsid w:val="59DA079A"/>
    <w:rsid w:val="66E055D6"/>
    <w:rsid w:val="68F44821"/>
    <w:rsid w:val="6A682DB2"/>
    <w:rsid w:val="6A771266"/>
    <w:rsid w:val="72F14FD3"/>
    <w:rsid w:val="795B47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927</Words>
  <Characters>2056</Characters>
  <Lines>17</Lines>
  <Paragraphs>4</Paragraphs>
  <TotalTime>4</TotalTime>
  <ScaleCrop>false</ScaleCrop>
  <LinksUpToDate>false</LinksUpToDate>
  <CharactersWithSpaces>2299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2022-09-13T09:14:00Z</dcterms:created>
  <dc:creator>微软用户</dc:creator>
  <cp:lastModifiedBy>way一直都在</cp:lastModifiedBy>
  <cp:lastPrinted>2019-05-13T03:13:00Z</cp:lastPrinted>
  <dcterms:modified xsi:type="dcterms:W3CDTF">2022-09-14T08:09:41Z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2052-11.1.0.12358</vt:lpwstr>
  </property>
</Properties>
</file>