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嘉兴市南湖区保安服务有限公司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服务过程策划→投标洽谈→签到合同→人员配置→准备工具上岗→分管区域循环保安→处理投诉、业主回访→评价、改进服务质量；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主要能源使用：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电力、水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主要能源参数等；公司办公区域综合能耗tce；紫竹名苑小区综合能耗tce；紫竹名苑小区单位面积综合能耗kgce/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m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none"/>
                <w:lang w:val="en-US" w:eastAsia="zh-CN" w:bidi="ar-SA"/>
              </w:rPr>
              <w:t>.a；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相关能源法律法规：</w:t>
            </w:r>
          </w:p>
          <w:p>
            <w:pPr>
              <w:pStyle w:val="2"/>
              <w:ind w:left="0" w:leftChars="0" w:firstLine="0" w:firstLineChars="0"/>
              <w:rPr>
                <w:rFonts w:hint="eastAsia" w:cs="Times New Roman"/>
                <w:b/>
                <w:i w:val="0"/>
                <w:i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i w:val="0"/>
                <w:iCs w:val="0"/>
                <w:kern w:val="2"/>
                <w:sz w:val="20"/>
                <w:szCs w:val="22"/>
                <w:lang w:val="en-US" w:eastAsia="zh-CN" w:bidi="ar-SA"/>
              </w:rPr>
              <w:t>《物业管理条例》</w:t>
            </w:r>
          </w:p>
          <w:p>
            <w:pPr>
              <w:rPr>
                <w:rFonts w:hint="eastAsia" w:ascii="Calibri" w:hAnsi="Calibri" w:eastAsia="宋体" w:cs="Times New Roman"/>
                <w:b/>
                <w:i w:val="0"/>
                <w:i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i w:val="0"/>
                <w:iCs w:val="0"/>
                <w:kern w:val="2"/>
                <w:sz w:val="20"/>
                <w:szCs w:val="22"/>
                <w:lang w:val="en-US" w:eastAsia="zh-CN" w:bidi="ar-SA"/>
              </w:rPr>
              <w:t>《</w:t>
            </w: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b/>
                <w:i w:val="0"/>
                <w:iCs w:val="0"/>
                <w:kern w:val="2"/>
                <w:sz w:val="20"/>
                <w:szCs w:val="22"/>
                <w:lang w:val="en-US" w:eastAsia="zh-CN" w:bidi="ar-SA"/>
              </w:rPr>
              <w:t>保安服务管理条例》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《中华人民共和国电力法》、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《中华人民共和国节约能源法》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《中华人民共和国可再生能源法》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《国家重点节能技术推广目录（1-6 批）》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电力变压器经济运行（GB13462-2008）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综合能耗计算通则GBT2589-2020</w:t>
            </w:r>
          </w:p>
          <w:p>
            <w:pP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其他专业审核知识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148590</wp:posOffset>
                  </wp:positionV>
                  <wp:extent cx="982345" cy="319405"/>
                  <wp:effectExtent l="0" t="0" r="0" b="10795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7" name="图片 7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p>
      <w:pPr>
        <w:rPr>
          <w:rFonts w:hint="eastAsia" w:ascii="宋体" w:hAnsi="宋体"/>
          <w:b/>
          <w:sz w:val="30"/>
          <w:szCs w:val="3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9A2"/>
    <w:multiLevelType w:val="singleLevel"/>
    <w:tmpl w:val="026A39A2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D071586"/>
    <w:rsid w:val="4CC54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iPriority="39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locked/>
    <w:uiPriority w:val="39"/>
    <w:pPr>
      <w:ind w:left="420"/>
      <w:jc w:val="left"/>
    </w:pPr>
    <w:rPr>
      <w:rFonts w:ascii="Calibri" w:hAnsi="Calibri" w:cs="Calibri"/>
      <w:i/>
      <w:iCs/>
      <w:sz w:val="20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5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2022-09-30T01:25:11Z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