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江西天晟金属设备有限公司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0881-2021-QEO-2022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江西省宜春市樟树市洋湖工业园东阁粮库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黄海辉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生产地址江西省宜春市樟树市洋湖工业园东阁粮库/经营地址：江西省樟树市杏佛路88号曼哈顿国际都会31栋一单元906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汪建香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0795-7869869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15970509713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Q：骨灰盒存放架的制造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E：骨灰盒存放架的制造所涉及场所的相关环境管理活动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O：骨灰盒存放架的制造所涉及场所的相关职业健康安全管理活动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Q：23.01.01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E：23.01.01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Q:42,E:42,O:42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减少到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33</w:t>
            </w:r>
            <w:r>
              <w:rPr>
                <w:rFonts w:hint="eastAsia" w:ascii="宋体" w:hAnsi="宋体"/>
                <w:color w:val="000000"/>
              </w:rPr>
              <w:t>人；组织结构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tbl>
            <w:tblPr>
              <w:tblStyle w:val="7"/>
              <w:tblpPr w:leftFromText="180" w:rightFromText="180" w:vertAnchor="text" w:horzAnchor="page" w:tblpXSpec="center" w:tblpY="94"/>
              <w:tblOverlap w:val="never"/>
              <w:tblW w:w="882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45"/>
              <w:gridCol w:w="788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2" w:hRule="atLeast"/>
                <w:jc w:val="center"/>
              </w:trPr>
              <w:tc>
                <w:tcPr>
                  <w:tcW w:w="945" w:type="dxa"/>
                  <w:shd w:val="clear" w:color="auto" w:fill="auto"/>
                  <w:vAlign w:val="top"/>
                </w:tcPr>
                <w:p>
                  <w:pPr>
                    <w:pStyle w:val="16"/>
                    <w:jc w:val="both"/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2"/>
                      <w:sz w:val="21"/>
                      <w:szCs w:val="21"/>
                      <w:lang w:val="en-US" w:eastAsia="zh-CN" w:bidi="ar-SA"/>
                    </w:rPr>
                    <w:t>管理层</w:t>
                  </w:r>
                </w:p>
                <w:p>
                  <w:pPr>
                    <w:pStyle w:val="16"/>
                    <w:jc w:val="both"/>
                    <w:rPr>
                      <w:color w:val="auto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2"/>
                      <w:sz w:val="21"/>
                      <w:szCs w:val="21"/>
                      <w:lang w:val="en-US" w:eastAsia="zh-CN" w:bidi="ar-SA"/>
                    </w:rPr>
                    <w:t>安全事务代表</w:t>
                  </w:r>
                </w:p>
              </w:tc>
              <w:tc>
                <w:tcPr>
                  <w:tcW w:w="7882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0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57"/>
                    <w:jc w:val="both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Q/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E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/O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：4.1理解组织及其环境、4.2理解相关方的需求和期望、4.3确定管理体系的范围、4.4管理体系及其过程、5.1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领导作用、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5.2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管理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方针、5.3组织的岗位、职责和权限、6.1应对风险和机遇的措施、6.2目标及其实现的策划、7.1资源、7.4沟通/信息交流、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9.3管理评审、10.1改进、10.3持续改进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0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57"/>
                    <w:jc w:val="both"/>
                    <w:textAlignment w:val="auto"/>
                    <w:rPr>
                      <w:rFonts w:hint="default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Q:6.3体系变更、8.3删减确认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0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57"/>
                    <w:jc w:val="both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O:5.4协商与参与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0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57"/>
                    <w:jc w:val="both"/>
                    <w:textAlignment w:val="auto"/>
                    <w:rPr>
                      <w:rFonts w:ascii="宋体" w:hAnsi="宋体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对上次审核问题整改情况的确认；事故事件及起处理情况，环境、安全监测情况、证书标志使用情况等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2" w:hRule="atLeast"/>
                <w:jc w:val="center"/>
              </w:trPr>
              <w:tc>
                <w:tcPr>
                  <w:tcW w:w="945" w:type="dxa"/>
                  <w:shd w:val="clear" w:color="auto" w:fill="auto"/>
                  <w:vAlign w:val="top"/>
                </w:tcPr>
                <w:p>
                  <w:pPr>
                    <w:pStyle w:val="16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312" w:lineRule="auto"/>
                    <w:jc w:val="both"/>
                    <w:textAlignment w:val="auto"/>
                    <w:rPr>
                      <w:rFonts w:ascii="宋体" w:hAnsi="宋体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2"/>
                      <w:sz w:val="21"/>
                      <w:szCs w:val="21"/>
                      <w:lang w:val="en-US" w:eastAsia="zh-CN" w:bidi="ar-SA"/>
                    </w:rPr>
                    <w:t>行政部</w:t>
                  </w:r>
                </w:p>
              </w:tc>
              <w:tc>
                <w:tcPr>
                  <w:tcW w:w="7882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0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57"/>
                    <w:jc w:val="both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Q: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5.3组织的岗位、职责和权限、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目标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及控制的策划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7.1资源、7.1.2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人员、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7.2能力、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7.3意识、7.5成文信息、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7.1.6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组织的知识、9.1.1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监视、测量、分析和评价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10.2改进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ascii="宋体" w:hAnsi="宋体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E/O:5.3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组织的岗位、职责和权限、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目标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及控制的策划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环境因素/危险源的识别与评价、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6.1.4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措施的策划、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7.1资源、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7.2能力、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7.3意识、7.5成文信息、8.1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运行策划和控制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8.2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应急准备和响应、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9.1.1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监视、测量、分析和评价、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9.1.3分析与评价、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9.2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内部审核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10.2改进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2" w:hRule="atLeast"/>
                <w:jc w:val="center"/>
              </w:trPr>
              <w:tc>
                <w:tcPr>
                  <w:tcW w:w="945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12" w:lineRule="auto"/>
                    <w:jc w:val="both"/>
                    <w:textAlignment w:val="auto"/>
                    <w:rPr>
                      <w:rFonts w:hint="default" w:ascii="宋体" w:hAnsi="宋体" w:eastAsia="宋体" w:cs="Times New Roman"/>
                      <w:b/>
                      <w:bCs/>
                      <w:color w:val="auto"/>
                      <w:spacing w:val="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z w:val="21"/>
                      <w:szCs w:val="21"/>
                      <w:lang w:val="en-US" w:eastAsia="zh-CN"/>
                    </w:rPr>
                    <w:t>生产部</w:t>
                  </w:r>
                </w:p>
              </w:tc>
              <w:tc>
                <w:tcPr>
                  <w:tcW w:w="7882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0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57"/>
                    <w:jc w:val="both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Q:5.3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组织的岗位、职责和权限、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目标、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7.1.3基础设施、7.1.4过程环境、8.1运行策划、8.5生产过程控制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default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E/O: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5.3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组织的岗位、职责和权限、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目标、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环境因素/危险源的识别与评价、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6.1.4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措施的策划、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6.1.3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合规义务、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9.1.2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合规性评价、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8.1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运行策划和控制、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8.2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应急准备和响应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2" w:hRule="atLeast"/>
                <w:jc w:val="center"/>
              </w:trPr>
              <w:tc>
                <w:tcPr>
                  <w:tcW w:w="945" w:type="dxa"/>
                  <w:shd w:val="clear" w:color="auto" w:fill="auto"/>
                  <w:vAlign w:val="top"/>
                </w:tcPr>
                <w:p>
                  <w:pPr>
                    <w:pStyle w:val="16"/>
                    <w:jc w:val="both"/>
                    <w:rPr>
                      <w:rFonts w:ascii="宋体" w:hAnsi="宋体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2"/>
                      <w:sz w:val="21"/>
                      <w:szCs w:val="21"/>
                      <w:lang w:val="en-US" w:eastAsia="zh-CN" w:bidi="ar-SA"/>
                    </w:rPr>
                    <w:t>供销部</w:t>
                  </w:r>
                </w:p>
              </w:tc>
              <w:tc>
                <w:tcPr>
                  <w:tcW w:w="7882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Q: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5.3组织的岗位、职责和权限、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目标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8.2顾客要求、8.4外部提供控制、8.5.5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交付后的活动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9.1.2顾客满意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E/O: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5.3组织的岗位、职责和权限、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目标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环境因素/危险源的识别与评价、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6.1.4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措施的策划、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8.1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运行策划和控制、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8.2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应急准备和响应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2" w:hRule="atLeast"/>
                <w:jc w:val="center"/>
              </w:trPr>
              <w:tc>
                <w:tcPr>
                  <w:tcW w:w="945" w:type="dxa"/>
                  <w:shd w:val="clear" w:color="auto" w:fill="auto"/>
                  <w:vAlign w:val="top"/>
                </w:tcPr>
                <w:p>
                  <w:pPr>
                    <w:spacing w:line="300" w:lineRule="exact"/>
                    <w:jc w:val="both"/>
                    <w:rPr>
                      <w:rFonts w:hint="eastAsia" w:ascii="宋体" w:hAnsi="宋体" w:eastAsia="楷体_GB2312" w:cs="Times New Roman"/>
                      <w:b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auto"/>
                      <w:sz w:val="21"/>
                      <w:szCs w:val="21"/>
                      <w:lang w:val="en-US" w:eastAsia="zh-CN"/>
                    </w:rPr>
                    <w:t>品质部</w:t>
                  </w:r>
                </w:p>
              </w:tc>
              <w:tc>
                <w:tcPr>
                  <w:tcW w:w="7882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Q:5.3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组织的岗位、职责和权限、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目标、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8.6放行、8.7不合格品控制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E/O:5.3组织的岗位、职责和权限、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目标、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环境因素/危险源的识别与评价、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6.1.4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措施的策划、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8.1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运行策划和控制、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8.2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应急准备和响应</w:t>
                  </w:r>
                </w:p>
              </w:tc>
            </w:tr>
          </w:tbl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eastAsia="zh-CN"/>
              </w:rPr>
              <w:t>关注产品检测报告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39BF72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1797</Words>
  <Characters>1977</Characters>
  <Lines>16</Lines>
  <Paragraphs>4</Paragraphs>
  <TotalTime>3</TotalTime>
  <ScaleCrop>false</ScaleCrop>
  <LinksUpToDate>false</LinksUpToDate>
  <CharactersWithSpaces>2486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2022-09-24T09:19:27Z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