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0881-2021-QEO-2022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江西天晟金属设备有限公司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江西天晟金属设备有限公司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江西省宜春市樟树市洋湖工业园东阁粮库</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生产地址江西省宜春市樟树市洋湖工业园东阁粮库/经营地址：江西省樟树市杏佛路88号曼哈顿国际都会31栋一单元906</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汪建香</w:t>
            </w:r>
            <w:bookmarkEnd w:id="10"/>
          </w:p>
        </w:tc>
        <w:tc>
          <w:tcPr>
            <w:tcW w:w="1313" w:type="dxa"/>
            <w:vAlign w:val="center"/>
          </w:tcPr>
          <w:p>
            <w:r>
              <w:rPr>
                <w:rFonts w:hint="eastAsia"/>
              </w:rPr>
              <w:t>电话.</w:t>
            </w:r>
          </w:p>
        </w:tc>
        <w:tc>
          <w:tcPr>
            <w:tcW w:w="2180" w:type="dxa"/>
            <w:vAlign w:val="center"/>
          </w:tcPr>
          <w:p>
            <w:bookmarkStart w:id="11" w:name="联系人电话"/>
            <w:r>
              <w:t>0795-7869869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黄海辉</w:t>
            </w:r>
            <w:bookmarkEnd w:id="13"/>
          </w:p>
        </w:tc>
        <w:tc>
          <w:tcPr>
            <w:tcW w:w="1313" w:type="dxa"/>
            <w:vAlign w:val="center"/>
          </w:tcPr>
          <w:p>
            <w:r>
              <w:rPr>
                <w:rFonts w:hint="eastAsia"/>
              </w:rPr>
              <w:t>管理者代表</w:t>
            </w:r>
          </w:p>
        </w:tc>
        <w:tc>
          <w:tcPr>
            <w:tcW w:w="2180" w:type="dxa"/>
          </w:tcPr>
          <w:p>
            <w:bookmarkStart w:id="14" w:name="管理者代表"/>
            <w:r>
              <w:t>黄海红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i w:val="0"/>
                <w:iCs w:val="0"/>
                <w:color w:val="auto"/>
                <w:highlight w:val="none"/>
                <w:lang w:val="en-US" w:eastAsia="zh-CN"/>
              </w:rPr>
              <w:t>剪板下料——打孔作业——冲压过程——折弯过程——组装作业——检验入库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2022年09月24日 上午至2022年09月26日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Q：骨灰盒存放架的制造</w:t>
            </w:r>
          </w:p>
          <w:p>
            <w:r>
              <w:t>E：骨灰盒存放架的制造所涉及场所的相关环境管理活动</w:t>
            </w:r>
          </w:p>
          <w:p>
            <w:r>
              <w:t>O：骨灰盒存放架的制造所涉及场所的相关职业健康安全管理活动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w:t>
            </w:r>
          </w:p>
          <w:p>
            <w:r>
              <w:t>E：23.01.01</w:t>
            </w:r>
          </w:p>
          <w:p>
            <w:r>
              <w:t>O：23.01.01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2020年1月2日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2021年08月27日 上午至2021年08月30日 上午(共3.5天)</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江西天晟金属设备有限公司</w:t>
            </w:r>
          </w:p>
          <w:p>
            <w:pPr>
              <w:pStyle w:val="2"/>
              <w:rPr>
                <w:lang w:val="de-DE" w:eastAsia="ja-JP"/>
              </w:rPr>
            </w:pPr>
            <w:r>
              <w:rPr>
                <w:rFonts w:hint="eastAsia"/>
                <w:lang w:val="de-DE" w:eastAsia="ja-JP"/>
              </w:rPr>
              <w:t>江西省宜春市樟树市洋湖工业园东阁粮库</w:t>
            </w:r>
          </w:p>
        </w:tc>
        <w:tc>
          <w:tcPr>
            <w:tcW w:w="2267" w:type="dxa"/>
          </w:tcPr>
          <w:p>
            <w:pPr>
              <w:rPr>
                <w:lang w:val="de-DE" w:eastAsia="ja-JP"/>
              </w:rPr>
            </w:pPr>
            <w:r>
              <w:rPr>
                <w:rFonts w:hint="eastAsia"/>
                <w:lang w:val="de-DE" w:eastAsia="ja-JP"/>
              </w:rPr>
              <w:t>江西省樟树市杏佛路88号曼哈顿国际都会31栋一单元906</w:t>
            </w:r>
          </w:p>
        </w:tc>
        <w:tc>
          <w:tcPr>
            <w:tcW w:w="571" w:type="dxa"/>
            <w:vAlign w:val="center"/>
          </w:tcPr>
          <w:p>
            <w:pPr>
              <w:rPr>
                <w:rFonts w:hint="default" w:eastAsia="宋体"/>
                <w:lang w:val="en-US" w:eastAsia="zh-CN"/>
              </w:rPr>
            </w:pPr>
            <w:r>
              <w:rPr>
                <w:rFonts w:hint="eastAsia"/>
                <w:lang w:val="en-US" w:eastAsia="zh-CN"/>
              </w:rPr>
              <w:t>33</w:t>
            </w:r>
          </w:p>
        </w:tc>
        <w:tc>
          <w:tcPr>
            <w:tcW w:w="2803" w:type="dxa"/>
            <w:vAlign w:val="center"/>
          </w:tcPr>
          <w:p>
            <w:pPr>
              <w:rPr>
                <w:lang w:eastAsia="ja-JP"/>
              </w:rPr>
            </w:pPr>
            <w:r>
              <w:rPr>
                <w:rFonts w:hint="eastAsia"/>
                <w:lang w:eastAsia="ja-JP"/>
              </w:rPr>
              <w:t>骨灰盒存放架的制造</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r>
              <w:t>Q:23.01.01</w:t>
            </w:r>
          </w:p>
          <w:p>
            <w:r>
              <w:t>E:23.01.01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eastAsia="zh-CN"/>
              </w:rPr>
              <w:t>人员减少</w:t>
            </w:r>
            <w:r>
              <w:rPr>
                <w:rFonts w:hint="eastAsia"/>
                <w:lang w:val="en-US" w:eastAsia="zh-CN"/>
              </w:rPr>
              <w:t>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pStyle w:val="2"/>
      </w:pPr>
    </w:p>
    <w:p>
      <w:pPr>
        <w:pStyle w:val="2"/>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r>
              <w:rPr>
                <w:rFonts w:hint="eastAsia"/>
                <w:lang w:val="en-US" w:eastAsia="zh-CN"/>
              </w:rPr>
              <w:t>0</w:t>
            </w:r>
          </w:p>
        </w:tc>
        <w:tc>
          <w:tcPr>
            <w:tcW w:w="1560" w:type="dxa"/>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lang w:val="en-US" w:eastAsia="zh-CN"/>
              </w:rPr>
              <w:t>0</w:t>
            </w:r>
          </w:p>
        </w:tc>
        <w:tc>
          <w:tcPr>
            <w:tcW w:w="1717" w:type="dxa"/>
          </w:tcPr>
          <w:p>
            <w:r>
              <w:rPr>
                <w:rFonts w:hint="eastAsia"/>
                <w:lang w:val="en-US" w:eastAsia="zh-CN"/>
              </w:rPr>
              <w:t>0</w:t>
            </w:r>
          </w:p>
        </w:tc>
        <w:tc>
          <w:tcPr>
            <w:tcW w:w="1560" w:type="dxa"/>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lang w:val="en-US" w:eastAsia="zh-CN"/>
              </w:rPr>
              <w:t>0</w:t>
            </w:r>
          </w:p>
        </w:tc>
        <w:tc>
          <w:tcPr>
            <w:tcW w:w="1717" w:type="dxa"/>
          </w:tcPr>
          <w:p>
            <w:r>
              <w:rPr>
                <w:rFonts w:hint="eastAsia"/>
                <w:lang w:val="en-US" w:eastAsia="zh-CN"/>
              </w:rPr>
              <w:t>0</w:t>
            </w:r>
          </w:p>
        </w:tc>
        <w:tc>
          <w:tcPr>
            <w:tcW w:w="1560" w:type="dxa"/>
          </w:tcPr>
          <w:p>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971"/>
        <w:gridCol w:w="276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tcPr>
          <w:p>
            <w:r>
              <w:rPr>
                <w:rFonts w:hint="eastAsia"/>
              </w:rPr>
              <w:t>审核组长签字</w:t>
            </w:r>
          </w:p>
        </w:tc>
        <w:tc>
          <w:tcPr>
            <w:tcW w:w="2971" w:type="dxa"/>
            <w:tcMar>
              <w:left w:w="113" w:type="dxa"/>
            </w:tcMar>
          </w:tcPr>
          <w:p>
            <w:r>
              <w:rPr>
                <w:rFonts w:hint="eastAsia" w:eastAsia="宋体"/>
                <w:sz w:val="22"/>
                <w:szCs w:val="22"/>
                <w:lang w:val="en-US" w:eastAsia="zh-CN"/>
              </w:rPr>
              <w:drawing>
                <wp:anchor distT="0" distB="0" distL="114300" distR="114300" simplePos="0" relativeHeight="251661312" behindDoc="0" locked="0" layoutInCell="1" allowOverlap="1">
                  <wp:simplePos x="0" y="0"/>
                  <wp:positionH relativeFrom="column">
                    <wp:posOffset>260985</wp:posOffset>
                  </wp:positionH>
                  <wp:positionV relativeFrom="paragraph">
                    <wp:posOffset>38735</wp:posOffset>
                  </wp:positionV>
                  <wp:extent cx="821055" cy="494665"/>
                  <wp:effectExtent l="0" t="0" r="17145" b="6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21055" cy="494665"/>
                          </a:xfrm>
                          <a:prstGeom prst="rect">
                            <a:avLst/>
                          </a:prstGeom>
                        </pic:spPr>
                      </pic:pic>
                    </a:graphicData>
                  </a:graphic>
                </wp:anchor>
              </w:drawing>
            </w:r>
          </w:p>
          <w:p/>
        </w:tc>
        <w:tc>
          <w:tcPr>
            <w:tcW w:w="2764" w:type="dxa"/>
            <w:tcMar>
              <w:left w:w="113" w:type="dxa"/>
            </w:tcMar>
          </w:tcPr>
          <w:p>
            <w:r>
              <w:rPr>
                <w:rFonts w:hint="eastAsia"/>
              </w:rPr>
              <w:t>日期</w:t>
            </w:r>
          </w:p>
        </w:tc>
        <w:tc>
          <w:tcPr>
            <w:tcW w:w="2610"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8"/>
              <w:gridCol w:w="29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8" w:type="dxa"/>
                </w:tcPr>
                <w:p>
                  <w:pPr>
                    <w:shd w:val="clear" w:color="auto" w:fill="C7DAF1" w:themeFill="text2" w:themeFillTint="32"/>
                  </w:pPr>
                  <w:r>
                    <w:rPr>
                      <w:rFonts w:hint="eastAsia"/>
                    </w:rPr>
                    <w:t>主要的风险或机遇描述</w:t>
                  </w:r>
                </w:p>
              </w:tc>
              <w:tc>
                <w:tcPr>
                  <w:tcW w:w="296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pPr>
                  <w:r>
                    <w:rPr>
                      <w:rFonts w:hint="eastAsia"/>
                    </w:rPr>
                    <w:t>政策影响和传统文化的影响</w:t>
                  </w:r>
                </w:p>
              </w:tc>
              <w:tc>
                <w:tcPr>
                  <w:tcW w:w="2967"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pPr>
                  <w:r>
                    <w:rPr>
                      <w:rFonts w:hint="eastAsia"/>
                    </w:rPr>
                    <w:t>原材料价格</w:t>
                  </w:r>
                  <w:r>
                    <w:rPr>
                      <w:rFonts w:hint="eastAsia"/>
                      <w:lang w:eastAsia="zh-CN"/>
                    </w:rPr>
                    <w:t>、</w:t>
                  </w:r>
                  <w:r>
                    <w:rPr>
                      <w:rFonts w:hint="eastAsia"/>
                    </w:rPr>
                    <w:t>产业政策</w:t>
                  </w:r>
                  <w:r>
                    <w:rPr>
                      <w:rFonts w:hint="eastAsia"/>
                      <w:lang w:eastAsia="zh-CN"/>
                    </w:rPr>
                    <w:t>、</w:t>
                  </w:r>
                  <w:r>
                    <w:rPr>
                      <w:rFonts w:hint="eastAsia"/>
                    </w:rPr>
                    <w:t>市场竞争</w:t>
                  </w:r>
                </w:p>
              </w:tc>
              <w:tc>
                <w:tcPr>
                  <w:tcW w:w="2967" w:type="dxa"/>
                  <w:vAlign w:val="top"/>
                </w:tcPr>
                <w:p>
                  <w:pPr>
                    <w:shd w:val="clear" w:color="auto" w:fill="C7DAF1" w:themeFill="text2" w:themeFillTint="32"/>
                  </w:pPr>
                  <w:r>
                    <w:rPr>
                      <w:rFonts w:hint="eastAsia"/>
                      <w:lang w:eastAsia="zh-CN"/>
                    </w:rPr>
                    <w:t>建立管理体系</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8" w:type="dxa"/>
                </w:tcPr>
                <w:p>
                  <w:pPr>
                    <w:shd w:val="clear" w:color="auto" w:fill="C7DAF1" w:themeFill="text2" w:themeFillTint="32"/>
                  </w:pPr>
                </w:p>
              </w:tc>
              <w:tc>
                <w:tcPr>
                  <w:tcW w:w="2967"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9"/>
              <w:gridCol w:w="2798"/>
              <w:gridCol w:w="1484"/>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798"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48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shd w:val="clear" w:color="auto" w:fill="auto"/>
                </w:tcPr>
                <w:p>
                  <w:pPr>
                    <w:shd w:val="clear" w:color="auto" w:fill="C7DAF1" w:themeFill="text2" w:themeFillTint="32"/>
                  </w:pPr>
                  <w:r>
                    <w:rPr>
                      <w:rFonts w:hint="eastAsia"/>
                    </w:rPr>
                    <w:t>产品出厂合格率100%</w:t>
                  </w:r>
                </w:p>
              </w:tc>
              <w:tc>
                <w:tcPr>
                  <w:tcW w:w="2798" w:type="dxa"/>
                  <w:shd w:val="clear" w:color="auto" w:fill="auto"/>
                  <w:vAlign w:val="center"/>
                </w:tcPr>
                <w:p>
                  <w:pPr>
                    <w:shd w:val="clear" w:color="auto" w:fill="C7DAF1" w:themeFill="text2" w:themeFillTint="32"/>
                    <w:rPr>
                      <w:lang w:val="en-GB"/>
                    </w:rPr>
                  </w:pPr>
                  <w:r>
                    <w:rPr>
                      <w:rFonts w:hint="eastAsia"/>
                      <w:lang w:val="en-GB"/>
                    </w:rPr>
                    <w:t>合格数÷总数×100%</w:t>
                  </w:r>
                </w:p>
              </w:tc>
              <w:tc>
                <w:tcPr>
                  <w:tcW w:w="148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640"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shd w:val="clear" w:color="auto" w:fill="auto"/>
                </w:tcPr>
                <w:p>
                  <w:pPr>
                    <w:shd w:val="clear" w:color="auto" w:fill="C7DAF1" w:themeFill="text2" w:themeFillTint="32"/>
                  </w:pPr>
                  <w:r>
                    <w:rPr>
                      <w:rFonts w:hint="eastAsia"/>
                    </w:rPr>
                    <w:t>顾客满意度95分以上</w:t>
                  </w:r>
                </w:p>
              </w:tc>
              <w:tc>
                <w:tcPr>
                  <w:tcW w:w="2798" w:type="dxa"/>
                  <w:shd w:val="clear" w:color="auto" w:fill="auto"/>
                  <w:vAlign w:val="center"/>
                </w:tcPr>
                <w:p>
                  <w:pPr>
                    <w:shd w:val="clear" w:color="auto" w:fill="C7DAF1" w:themeFill="text2" w:themeFillTint="32"/>
                    <w:rPr>
                      <w:rFonts w:ascii="宋体" w:hAnsi="宋体"/>
                    </w:rPr>
                  </w:pPr>
                  <w:r>
                    <w:rPr>
                      <w:rFonts w:hint="eastAsia"/>
                      <w:lang w:val="en-GB"/>
                    </w:rPr>
                    <w:t>执行顾客满意度调查分析</w:t>
                  </w:r>
                </w:p>
              </w:tc>
              <w:tc>
                <w:tcPr>
                  <w:tcW w:w="1484"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640"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shd w:val="clear" w:color="auto" w:fill="auto"/>
                </w:tcPr>
                <w:p>
                  <w:pPr>
                    <w:shd w:val="clear" w:color="auto" w:fill="C7DAF1" w:themeFill="text2" w:themeFillTint="32"/>
                  </w:pPr>
                </w:p>
              </w:tc>
              <w:tc>
                <w:tcPr>
                  <w:tcW w:w="2798"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w:t>
            </w:r>
            <w:r>
              <w:rPr>
                <w:rFonts w:hint="eastAsia"/>
              </w:rPr>
              <w:sym w:font="Wingdings 2" w:char="0052"/>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剪板机、冲压机、折弯机、冲床、切割机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钢卷尺、游标卡尺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45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hd w:val="clear" w:color="auto" w:fill="C7DAF1" w:themeFill="text2" w:themeFillTint="32"/>
                    <w:jc w:val="left"/>
                  </w:pPr>
                  <w:r>
                    <w:rPr>
                      <w:rFonts w:hint="eastAsia"/>
                    </w:rPr>
                    <w:t>产品/服务名称</w:t>
                  </w:r>
                </w:p>
              </w:tc>
              <w:tc>
                <w:tcPr>
                  <w:tcW w:w="245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hd w:val="clear" w:color="auto" w:fill="C7DAF1" w:themeFill="text2" w:themeFillTint="32"/>
                    <w:jc w:val="left"/>
                  </w:pPr>
                  <w:r>
                    <w:rPr>
                      <w:rFonts w:hint="eastAsia"/>
                    </w:rPr>
                    <w:t>骨灰盒存放架的制造</w:t>
                  </w:r>
                </w:p>
              </w:tc>
              <w:tc>
                <w:tcPr>
                  <w:tcW w:w="2455" w:type="dxa"/>
                </w:tcPr>
                <w:p>
                  <w:pPr>
                    <w:shd w:val="clear" w:color="auto" w:fill="C7DAF1" w:themeFill="text2" w:themeFillTint="32"/>
                    <w:jc w:val="left"/>
                  </w:pPr>
                  <w:r>
                    <w:rPr>
                      <w:rFonts w:hint="eastAsia"/>
                    </w:rPr>
                    <w:t>下料</w:t>
                  </w:r>
                </w:p>
              </w:tc>
              <w:tc>
                <w:tcPr>
                  <w:tcW w:w="3265" w:type="dxa"/>
                </w:tcPr>
                <w:p>
                  <w:pPr>
                    <w:shd w:val="clear" w:color="auto" w:fill="C7DAF1" w:themeFill="text2" w:themeFillTint="32"/>
                    <w:jc w:val="left"/>
                    <w:rPr>
                      <w:rFonts w:hint="eastAsia" w:eastAsia="宋体"/>
                      <w:lang w:eastAsia="zh-CN"/>
                    </w:rPr>
                  </w:pPr>
                  <w:r>
                    <w:rPr>
                      <w:rFonts w:hint="eastAsia"/>
                      <w:lang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hd w:val="clear" w:color="auto" w:fill="C7DAF1" w:themeFill="text2" w:themeFillTint="32"/>
                    <w:jc w:val="left"/>
                  </w:pPr>
                </w:p>
              </w:tc>
              <w:tc>
                <w:tcPr>
                  <w:tcW w:w="245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《型式检验报告》，如：产品检验报告。</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通过年度策划于2022年6月27-28日实施了质量管理体系内部审核，对质量管理体系的符合性和有效性进行了审核。内审发现的项不符合在本次审核前已完成整改。在公司内完成的这些审核是可信的。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最高管理者已按策划的时间间隔，在2022年7月8日对组织的质量管理体系进行了评审，以确保其持续的适宜性、充分性和有效性；管理评审输入、输出均按要求提供。并对提出的改进措施进行了落实。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4.1</w:t>
            </w:r>
          </w:p>
        </w:tc>
        <w:tc>
          <w:tcPr>
            <w:tcW w:w="650" w:type="dxa"/>
            <w:vAlign w:val="center"/>
          </w:tcPr>
          <w:p>
            <w:pPr>
              <w:shd w:val="clear" w:color="auto" w:fill="C7DAF1" w:themeFill="text2" w:themeFillTint="32"/>
              <w:jc w:val="center"/>
              <w:rPr>
                <w:lang w:eastAsia="ja-JP"/>
              </w:rPr>
            </w:pPr>
            <w:r>
              <w:rPr>
                <w:rFonts w:hint="eastAsia"/>
              </w:rPr>
              <w:t>4.2</w:t>
            </w:r>
          </w:p>
        </w:tc>
        <w:tc>
          <w:tcPr>
            <w:tcW w:w="650" w:type="dxa"/>
            <w:vAlign w:val="center"/>
          </w:tcPr>
          <w:p>
            <w:pPr>
              <w:shd w:val="clear" w:color="auto" w:fill="C7DAF1" w:themeFill="text2" w:themeFillTint="32"/>
              <w:jc w:val="center"/>
              <w:rPr>
                <w:lang w:eastAsia="ja-JP"/>
              </w:rPr>
            </w:pPr>
            <w:r>
              <w:rPr>
                <w:rFonts w:hint="eastAsia"/>
              </w:rPr>
              <w:t>4.3</w:t>
            </w:r>
          </w:p>
        </w:tc>
        <w:tc>
          <w:tcPr>
            <w:tcW w:w="649" w:type="dxa"/>
            <w:vAlign w:val="center"/>
          </w:tcPr>
          <w:p>
            <w:pPr>
              <w:shd w:val="clear" w:color="auto" w:fill="C7DAF1" w:themeFill="text2" w:themeFillTint="32"/>
              <w:jc w:val="center"/>
              <w:rPr>
                <w:lang w:eastAsia="ja-JP"/>
              </w:rPr>
            </w:pPr>
            <w:r>
              <w:rPr>
                <w:rFonts w:hint="eastAsia"/>
              </w:rPr>
              <w:t>4.4</w:t>
            </w:r>
          </w:p>
        </w:tc>
        <w:tc>
          <w:tcPr>
            <w:tcW w:w="650" w:type="dxa"/>
            <w:vAlign w:val="center"/>
          </w:tcPr>
          <w:p>
            <w:pPr>
              <w:shd w:val="clear" w:color="auto" w:fill="C7DAF1" w:themeFill="text2" w:themeFillTint="32"/>
              <w:jc w:val="center"/>
              <w:rPr>
                <w:lang w:eastAsia="ja-JP"/>
              </w:rPr>
            </w:pPr>
            <w:r>
              <w:rPr>
                <w:rFonts w:hint="eastAsia"/>
              </w:rPr>
              <w:t>5.1</w:t>
            </w:r>
          </w:p>
        </w:tc>
        <w:tc>
          <w:tcPr>
            <w:tcW w:w="650" w:type="dxa"/>
            <w:vAlign w:val="center"/>
          </w:tcPr>
          <w:p>
            <w:pPr>
              <w:shd w:val="clear" w:color="auto" w:fill="C7DAF1" w:themeFill="text2" w:themeFillTint="32"/>
              <w:jc w:val="center"/>
              <w:rPr>
                <w:lang w:eastAsia="ja-JP"/>
              </w:rPr>
            </w:pPr>
            <w:r>
              <w:rPr>
                <w:rFonts w:hint="eastAsia"/>
              </w:rPr>
              <w:t>5.2</w:t>
            </w:r>
          </w:p>
        </w:tc>
        <w:tc>
          <w:tcPr>
            <w:tcW w:w="649" w:type="dxa"/>
            <w:vAlign w:val="center"/>
          </w:tcPr>
          <w:p>
            <w:pPr>
              <w:shd w:val="clear" w:color="auto" w:fill="C7DAF1" w:themeFill="text2" w:themeFillTint="32"/>
              <w:jc w:val="center"/>
              <w:rPr>
                <w:lang w:eastAsia="ja-JP"/>
              </w:rPr>
            </w:pPr>
            <w:r>
              <w:rPr>
                <w:rFonts w:hint="eastAsia"/>
              </w:rPr>
              <w:t>5.3</w:t>
            </w:r>
          </w:p>
        </w:tc>
        <w:tc>
          <w:tcPr>
            <w:tcW w:w="650" w:type="dxa"/>
            <w:vAlign w:val="center"/>
          </w:tcPr>
          <w:p>
            <w:pPr>
              <w:shd w:val="clear" w:color="auto" w:fill="C7DAF1" w:themeFill="text2" w:themeFillTint="32"/>
              <w:jc w:val="center"/>
              <w:rPr>
                <w:lang w:eastAsia="ja-JP"/>
              </w:rPr>
            </w:pPr>
            <w:r>
              <w:rPr>
                <w:rFonts w:hint="eastAsia"/>
              </w:rPr>
              <w:t>6.1</w:t>
            </w:r>
          </w:p>
        </w:tc>
        <w:tc>
          <w:tcPr>
            <w:tcW w:w="650" w:type="dxa"/>
            <w:vAlign w:val="center"/>
          </w:tcPr>
          <w:p>
            <w:pPr>
              <w:shd w:val="clear" w:color="auto" w:fill="C7DAF1" w:themeFill="text2" w:themeFillTint="32"/>
              <w:jc w:val="center"/>
              <w:rPr>
                <w:lang w:eastAsia="ja-JP"/>
              </w:rPr>
            </w:pPr>
            <w:r>
              <w:rPr>
                <w:rFonts w:hint="eastAsia"/>
              </w:rPr>
              <w:t>6.2</w:t>
            </w:r>
          </w:p>
        </w:tc>
        <w:tc>
          <w:tcPr>
            <w:tcW w:w="649" w:type="dxa"/>
            <w:vAlign w:val="center"/>
          </w:tcPr>
          <w:p>
            <w:pPr>
              <w:shd w:val="clear" w:color="auto" w:fill="C7DAF1" w:themeFill="text2" w:themeFillTint="32"/>
              <w:jc w:val="center"/>
              <w:rPr>
                <w:lang w:eastAsia="ja-JP"/>
              </w:rPr>
            </w:pPr>
            <w:r>
              <w:rPr>
                <w:rFonts w:hint="eastAsia"/>
              </w:rPr>
              <w:t>6.3</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7.1</w:t>
            </w:r>
          </w:p>
        </w:tc>
        <w:tc>
          <w:tcPr>
            <w:tcW w:w="650" w:type="dxa"/>
            <w:vAlign w:val="center"/>
          </w:tcPr>
          <w:p>
            <w:pPr>
              <w:shd w:val="clear" w:color="auto" w:fill="C7DAF1" w:themeFill="text2" w:themeFillTint="32"/>
              <w:jc w:val="center"/>
              <w:rPr>
                <w:lang w:eastAsia="ja-JP"/>
              </w:rPr>
            </w:pPr>
            <w:r>
              <w:rPr>
                <w:rFonts w:hint="eastAsia"/>
              </w:rPr>
              <w:t>7.2</w:t>
            </w:r>
          </w:p>
        </w:tc>
        <w:tc>
          <w:tcPr>
            <w:tcW w:w="650" w:type="dxa"/>
            <w:vAlign w:val="center"/>
          </w:tcPr>
          <w:p>
            <w:pPr>
              <w:shd w:val="clear" w:color="auto" w:fill="C7DAF1" w:themeFill="text2" w:themeFillTint="32"/>
              <w:jc w:val="center"/>
              <w:rPr>
                <w:lang w:eastAsia="ja-JP"/>
              </w:rPr>
            </w:pPr>
            <w:r>
              <w:rPr>
                <w:rFonts w:hint="eastAsia"/>
              </w:rPr>
              <w:t>7.3</w:t>
            </w:r>
          </w:p>
        </w:tc>
        <w:tc>
          <w:tcPr>
            <w:tcW w:w="649" w:type="dxa"/>
            <w:vAlign w:val="center"/>
          </w:tcPr>
          <w:p>
            <w:pPr>
              <w:shd w:val="clear" w:color="auto" w:fill="C7DAF1" w:themeFill="text2" w:themeFillTint="32"/>
              <w:jc w:val="center"/>
              <w:rPr>
                <w:lang w:eastAsia="ja-JP"/>
              </w:rPr>
            </w:pPr>
            <w:r>
              <w:rPr>
                <w:rFonts w:hint="eastAsia"/>
              </w:rPr>
              <w:t>7.4</w:t>
            </w:r>
          </w:p>
        </w:tc>
        <w:tc>
          <w:tcPr>
            <w:tcW w:w="650" w:type="dxa"/>
            <w:vAlign w:val="center"/>
          </w:tcPr>
          <w:p>
            <w:pPr>
              <w:shd w:val="clear" w:color="auto" w:fill="C7DAF1" w:themeFill="text2" w:themeFillTint="32"/>
              <w:jc w:val="center"/>
              <w:rPr>
                <w:lang w:eastAsia="ja-JP"/>
              </w:rPr>
            </w:pPr>
            <w:r>
              <w:rPr>
                <w:rFonts w:hint="eastAsia"/>
              </w:rPr>
              <w:t>7.5</w:t>
            </w:r>
          </w:p>
        </w:tc>
        <w:tc>
          <w:tcPr>
            <w:tcW w:w="650" w:type="dxa"/>
            <w:vAlign w:val="center"/>
          </w:tcPr>
          <w:p>
            <w:pPr>
              <w:shd w:val="clear" w:color="auto" w:fill="C7DAF1" w:themeFill="text2" w:themeFillTint="32"/>
              <w:jc w:val="center"/>
              <w:rPr>
                <w:lang w:eastAsia="ja-JP"/>
              </w:rPr>
            </w:pPr>
            <w:r>
              <w:rPr>
                <w:rFonts w:hint="eastAsia"/>
              </w:rPr>
              <w:t>8.1</w:t>
            </w:r>
          </w:p>
        </w:tc>
        <w:tc>
          <w:tcPr>
            <w:tcW w:w="649" w:type="dxa"/>
            <w:vAlign w:val="center"/>
          </w:tcPr>
          <w:p>
            <w:pPr>
              <w:shd w:val="clear" w:color="auto" w:fill="C7DAF1" w:themeFill="text2" w:themeFillTint="32"/>
              <w:jc w:val="center"/>
              <w:rPr>
                <w:lang w:eastAsia="ja-JP"/>
              </w:rPr>
            </w:pPr>
            <w:r>
              <w:rPr>
                <w:rFonts w:hint="eastAsia"/>
              </w:rPr>
              <w:t>8.2</w:t>
            </w:r>
          </w:p>
        </w:tc>
        <w:tc>
          <w:tcPr>
            <w:tcW w:w="650" w:type="dxa"/>
            <w:vAlign w:val="center"/>
          </w:tcPr>
          <w:p>
            <w:pPr>
              <w:shd w:val="clear" w:color="auto" w:fill="C7DAF1" w:themeFill="text2" w:themeFillTint="32"/>
              <w:jc w:val="center"/>
              <w:rPr>
                <w:lang w:eastAsia="ja-JP"/>
              </w:rPr>
            </w:pPr>
            <w:r>
              <w:rPr>
                <w:rFonts w:hint="eastAsia"/>
              </w:rPr>
              <w:t>8.3</w:t>
            </w:r>
          </w:p>
        </w:tc>
        <w:tc>
          <w:tcPr>
            <w:tcW w:w="650" w:type="dxa"/>
            <w:vAlign w:val="center"/>
          </w:tcPr>
          <w:p>
            <w:pPr>
              <w:shd w:val="clear" w:color="auto" w:fill="C7DAF1" w:themeFill="text2" w:themeFillTint="32"/>
              <w:jc w:val="center"/>
              <w:rPr>
                <w:lang w:eastAsia="ja-JP"/>
              </w:rPr>
            </w:pPr>
            <w:r>
              <w:rPr>
                <w:rFonts w:hint="eastAsia"/>
              </w:rPr>
              <w:t>8.4</w:t>
            </w:r>
          </w:p>
        </w:tc>
        <w:tc>
          <w:tcPr>
            <w:tcW w:w="649" w:type="dxa"/>
            <w:vAlign w:val="center"/>
          </w:tcPr>
          <w:p>
            <w:pPr>
              <w:shd w:val="clear" w:color="auto" w:fill="C7DAF1" w:themeFill="text2" w:themeFillTint="32"/>
              <w:jc w:val="center"/>
              <w:rPr>
                <w:lang w:eastAsia="ja-JP"/>
              </w:rPr>
            </w:pPr>
            <w:r>
              <w:rPr>
                <w:rFonts w:hint="eastAsia"/>
              </w:rPr>
              <w:t>8.5</w:t>
            </w:r>
          </w:p>
        </w:tc>
        <w:tc>
          <w:tcPr>
            <w:tcW w:w="650" w:type="dxa"/>
            <w:vAlign w:val="center"/>
          </w:tcPr>
          <w:p>
            <w:pPr>
              <w:shd w:val="clear" w:color="auto" w:fill="C7DAF1" w:themeFill="text2" w:themeFillTint="32"/>
              <w:jc w:val="center"/>
              <w:rPr>
                <w:lang w:eastAsia="ja-JP"/>
              </w:rPr>
            </w:pPr>
            <w:r>
              <w:rPr>
                <w:rFonts w:hint="eastAsia"/>
              </w:rPr>
              <w:t>8.6</w:t>
            </w:r>
          </w:p>
        </w:tc>
        <w:tc>
          <w:tcPr>
            <w:tcW w:w="650" w:type="dxa"/>
            <w:vAlign w:val="center"/>
          </w:tcPr>
          <w:p>
            <w:pPr>
              <w:shd w:val="clear" w:color="auto" w:fill="C7DAF1" w:themeFill="text2" w:themeFillTint="32"/>
              <w:jc w:val="center"/>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9.1</w:t>
            </w:r>
          </w:p>
        </w:tc>
        <w:tc>
          <w:tcPr>
            <w:tcW w:w="650" w:type="dxa"/>
            <w:vAlign w:val="center"/>
          </w:tcPr>
          <w:p>
            <w:pPr>
              <w:shd w:val="clear" w:color="auto" w:fill="C7DAF1" w:themeFill="text2" w:themeFillTint="32"/>
              <w:jc w:val="center"/>
              <w:rPr>
                <w:lang w:eastAsia="ja-JP"/>
              </w:rPr>
            </w:pPr>
            <w:r>
              <w:rPr>
                <w:rFonts w:hint="eastAsia"/>
              </w:rPr>
              <w:t>9.2</w:t>
            </w:r>
          </w:p>
        </w:tc>
        <w:tc>
          <w:tcPr>
            <w:tcW w:w="650" w:type="dxa"/>
            <w:vAlign w:val="center"/>
          </w:tcPr>
          <w:p>
            <w:pPr>
              <w:shd w:val="clear" w:color="auto" w:fill="C7DAF1" w:themeFill="text2" w:themeFillTint="32"/>
              <w:jc w:val="center"/>
              <w:rPr>
                <w:lang w:eastAsia="ja-JP"/>
              </w:rPr>
            </w:pPr>
            <w:r>
              <w:rPr>
                <w:rFonts w:hint="eastAsia"/>
              </w:rPr>
              <w:t>9.3</w:t>
            </w:r>
          </w:p>
        </w:tc>
        <w:tc>
          <w:tcPr>
            <w:tcW w:w="649" w:type="dxa"/>
            <w:vAlign w:val="center"/>
          </w:tcPr>
          <w:p>
            <w:pPr>
              <w:shd w:val="clear" w:color="auto" w:fill="C7DAF1" w:themeFill="text2" w:themeFillTint="32"/>
              <w:jc w:val="center"/>
              <w:rPr>
                <w:lang w:eastAsia="ja-JP"/>
              </w:rPr>
            </w:pPr>
            <w:r>
              <w:rPr>
                <w:rFonts w:hint="eastAsia"/>
              </w:rPr>
              <w:t>10.1</w:t>
            </w:r>
          </w:p>
        </w:tc>
        <w:tc>
          <w:tcPr>
            <w:tcW w:w="650" w:type="dxa"/>
            <w:vAlign w:val="center"/>
          </w:tcPr>
          <w:p>
            <w:pPr>
              <w:shd w:val="clear" w:color="auto" w:fill="C7DAF1" w:themeFill="text2" w:themeFillTint="32"/>
              <w:jc w:val="center"/>
              <w:rPr>
                <w:lang w:eastAsia="ja-JP"/>
              </w:rPr>
            </w:pPr>
            <w:r>
              <w:rPr>
                <w:rFonts w:hint="eastAsia"/>
              </w:rPr>
              <w:t>10.2</w:t>
            </w:r>
          </w:p>
        </w:tc>
        <w:tc>
          <w:tcPr>
            <w:tcW w:w="650" w:type="dxa"/>
            <w:vAlign w:val="center"/>
          </w:tcPr>
          <w:p>
            <w:pPr>
              <w:shd w:val="clear" w:color="auto" w:fill="C7DAF1" w:themeFill="text2" w:themeFillTint="32"/>
              <w:jc w:val="center"/>
              <w:rPr>
                <w:lang w:eastAsia="ja-JP"/>
              </w:rPr>
            </w:pPr>
            <w:r>
              <w:rPr>
                <w:rFonts w:hint="eastAsia"/>
              </w:rPr>
              <w:t>10.3</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50" w:type="dxa"/>
            <w:vAlign w:val="center"/>
          </w:tcPr>
          <w:p>
            <w:pPr>
              <w:shd w:val="clear" w:color="auto" w:fill="C7DAF1" w:themeFill="text2" w:themeFillTint="32"/>
              <w:jc w:val="center"/>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299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1" w:type="dxa"/>
                </w:tcPr>
                <w:p>
                  <w:pPr>
                    <w:shd w:val="clear" w:color="auto" w:fill="EBF1DE" w:themeFill="accent3" w:themeFillTint="32"/>
                  </w:pPr>
                  <w:r>
                    <w:rPr>
                      <w:rFonts w:hint="eastAsia"/>
                    </w:rPr>
                    <w:t>主要的风险或机遇描述</w:t>
                  </w:r>
                </w:p>
              </w:tc>
              <w:tc>
                <w:tcPr>
                  <w:tcW w:w="2994"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1" w:type="dxa"/>
                </w:tcPr>
                <w:p>
                  <w:pPr>
                    <w:shd w:val="clear" w:color="auto" w:fill="EBF1DE" w:themeFill="accent3" w:themeFillTint="32"/>
                  </w:pPr>
                  <w:r>
                    <w:rPr>
                      <w:rFonts w:hint="eastAsia"/>
                    </w:rPr>
                    <w:t>固体废物排放、潜在火灾、噪声排放</w:t>
                  </w:r>
                </w:p>
              </w:tc>
              <w:tc>
                <w:tcPr>
                  <w:tcW w:w="2994" w:type="dxa"/>
                </w:tcPr>
                <w:p>
                  <w:pPr>
                    <w:shd w:val="clear" w:color="auto" w:fill="EBF1DE" w:themeFill="accent3" w:themeFillTint="32"/>
                    <w:rPr>
                      <w:rFonts w:hint="eastAsia" w:eastAsia="宋体"/>
                      <w:lang w:eastAsia="zh-CN"/>
                    </w:rPr>
                  </w:pPr>
                  <w:r>
                    <w:rPr>
                      <w:rFonts w:hint="eastAsia"/>
                      <w:lang w:eastAsia="zh-CN"/>
                    </w:rPr>
                    <w:t>建立管理体系</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1" w:type="dxa"/>
                </w:tcPr>
                <w:p>
                  <w:pPr>
                    <w:shd w:val="clear" w:color="auto" w:fill="EBF1DE" w:themeFill="accent3" w:themeFillTint="32"/>
                  </w:pPr>
                </w:p>
              </w:tc>
              <w:tc>
                <w:tcPr>
                  <w:tcW w:w="2994"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20218.8.24</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2"/>
              <w:gridCol w:w="2045"/>
              <w:gridCol w:w="1091"/>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4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9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613"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2" w:type="dxa"/>
                  <w:shd w:val="clear" w:color="auto" w:fill="auto"/>
                </w:tcPr>
                <w:p>
                  <w:pPr>
                    <w:shd w:val="clear" w:color="auto" w:fill="EBF1DE" w:themeFill="accent3" w:themeFillTint="32"/>
                  </w:pPr>
                  <w:r>
                    <w:rPr>
                      <w:rFonts w:hint="eastAsia"/>
                    </w:rPr>
                    <w:t>固体废弃物分类管理，处理率为100%</w:t>
                  </w:r>
                </w:p>
              </w:tc>
              <w:tc>
                <w:tcPr>
                  <w:tcW w:w="2045"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091"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613"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2" w:type="dxa"/>
                  <w:shd w:val="clear" w:color="auto" w:fill="auto"/>
                </w:tcPr>
                <w:p>
                  <w:pPr>
                    <w:shd w:val="clear" w:color="auto" w:fill="EBF1DE" w:themeFill="accent3" w:themeFillTint="32"/>
                  </w:pPr>
                  <w:r>
                    <w:rPr>
                      <w:rFonts w:hint="eastAsia"/>
                    </w:rPr>
                    <w:t>重大火灾事故为零</w:t>
                  </w:r>
                </w:p>
              </w:tc>
              <w:tc>
                <w:tcPr>
                  <w:tcW w:w="2045"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运行控制、应急管理</w:t>
                  </w:r>
                </w:p>
              </w:tc>
              <w:tc>
                <w:tcPr>
                  <w:tcW w:w="1091" w:type="dxa"/>
                  <w:shd w:val="clear" w:color="auto" w:fill="auto"/>
                  <w:vAlign w:val="center"/>
                </w:tcPr>
                <w:p>
                  <w:pPr>
                    <w:shd w:val="clear" w:color="auto" w:fill="EBF1DE" w:themeFill="accent3" w:themeFillTint="32"/>
                    <w:rPr>
                      <w:rFonts w:ascii="宋体" w:hAnsi="宋体"/>
                    </w:rPr>
                  </w:pPr>
                  <w:r>
                    <w:rPr>
                      <w:rFonts w:hint="eastAsia"/>
                      <w:lang w:val="en-GB" w:eastAsia="zh-CN"/>
                    </w:rPr>
                    <w:t>生产部</w:t>
                  </w:r>
                </w:p>
              </w:tc>
              <w:tc>
                <w:tcPr>
                  <w:tcW w:w="1613"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2" w:type="dxa"/>
                  <w:shd w:val="clear" w:color="auto" w:fill="auto"/>
                </w:tcPr>
                <w:p>
                  <w:pPr>
                    <w:shd w:val="clear" w:color="auto" w:fill="EBF1DE" w:themeFill="accent3" w:themeFillTint="32"/>
                  </w:pPr>
                </w:p>
              </w:tc>
              <w:tc>
                <w:tcPr>
                  <w:tcW w:w="2045" w:type="dxa"/>
                  <w:shd w:val="clear" w:color="auto" w:fill="auto"/>
                  <w:vAlign w:val="center"/>
                </w:tcPr>
                <w:p>
                  <w:pPr>
                    <w:shd w:val="clear" w:color="auto" w:fill="EBF1DE" w:themeFill="accent3" w:themeFillTint="32"/>
                    <w:rPr>
                      <w:rFonts w:ascii="宋体" w:hAnsi="宋体"/>
                    </w:rPr>
                  </w:pPr>
                </w:p>
              </w:tc>
              <w:tc>
                <w:tcPr>
                  <w:tcW w:w="1091" w:type="dxa"/>
                  <w:shd w:val="clear" w:color="auto" w:fill="auto"/>
                  <w:vAlign w:val="center"/>
                </w:tcPr>
                <w:p>
                  <w:pPr>
                    <w:shd w:val="clear" w:color="auto" w:fill="EBF1DE" w:themeFill="accent3" w:themeFillTint="32"/>
                    <w:rPr>
                      <w:rFonts w:ascii="宋体" w:hAnsi="宋体"/>
                    </w:rPr>
                  </w:pPr>
                </w:p>
              </w:tc>
              <w:tc>
                <w:tcPr>
                  <w:tcW w:w="1613"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剪板机、冲压机、折弯机、冲床、切割机</w:t>
            </w:r>
          </w:p>
          <w:p>
            <w:pPr>
              <w:shd w:val="clear" w:color="auto" w:fill="EBF1DE" w:themeFill="accent3" w:themeFillTint="32"/>
              <w:rPr>
                <w:u w:val="single"/>
              </w:rPr>
            </w:pPr>
            <w:r>
              <w:rPr>
                <w:rFonts w:hint="eastAsia"/>
              </w:rPr>
              <w:t>主要环保设备有：</w:t>
            </w:r>
            <w:r>
              <w:rPr>
                <w:rFonts w:hint="eastAsia"/>
                <w:u w:val="single"/>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游标卡尺、钢卷尺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运行控制、应急管理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于2022年5月16日进行了的演练；并总结了预案的可行性和有效性。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定期（每年）：2022年6月16日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通过年度策划于2022年6月27-28日实施了环境管理体系内部审核，对环境管理体系的符合性和有效性进行了审核。内审发现的项不符合在本次审核前已完成整改。在公司内完成的这些审核是可信的。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最高管理者已按策划的时间间隔，在2022年7月8日对组织的环境管理体系进行了评审，以确保其持续的适宜性、充分性和有效性；管理评审输入、输出均按要求提供。并对提出的改进措施进行了落实。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生产部</w:t>
            </w:r>
          </w:p>
          <w:p>
            <w:r>
              <w:rPr>
                <w:rFonts w:hint="eastAsia"/>
              </w:rPr>
              <w:t>安全的主管部门是——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员工代表是——敖青萍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3"/>
              <w:gridCol w:w="246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3" w:type="dxa"/>
                </w:tcPr>
                <w:p>
                  <w:r>
                    <w:rPr>
                      <w:rFonts w:hint="eastAsia"/>
                    </w:rPr>
                    <w:t>主要的风险或机遇描述</w:t>
                  </w:r>
                </w:p>
              </w:tc>
              <w:tc>
                <w:tcPr>
                  <w:tcW w:w="246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3" w:type="dxa"/>
                </w:tcPr>
                <w:p>
                  <w:r>
                    <w:rPr>
                      <w:rFonts w:hint="eastAsia"/>
                    </w:rPr>
                    <w:t>机械伤害、噪声排放、潜在火灾、触电伤害</w:t>
                  </w:r>
                </w:p>
              </w:tc>
              <w:tc>
                <w:tcPr>
                  <w:tcW w:w="2462" w:type="dxa"/>
                </w:tcPr>
                <w:p>
                  <w:pPr>
                    <w:rPr>
                      <w:rFonts w:hint="eastAsia" w:eastAsia="宋体"/>
                      <w:lang w:eastAsia="zh-CN"/>
                    </w:rPr>
                  </w:pPr>
                  <w:r>
                    <w:rPr>
                      <w:rFonts w:hint="eastAsia"/>
                      <w:lang w:eastAsia="zh-CN"/>
                    </w:rPr>
                    <w:t>建立管理体系</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3" w:type="dxa"/>
                </w:tcPr>
                <w:p/>
              </w:tc>
              <w:tc>
                <w:tcPr>
                  <w:tcW w:w="2462"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49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9" w:type="dxa"/>
                  <w:shd w:val="clear" w:color="auto" w:fill="auto"/>
                </w:tcPr>
                <w:p>
                  <w:pPr>
                    <w:rPr>
                      <w:rFonts w:ascii="宋体" w:hAnsi="宋体"/>
                    </w:rPr>
                  </w:pPr>
                  <w:r>
                    <w:rPr>
                      <w:rFonts w:hint="eastAsia"/>
                    </w:rPr>
                    <w:t>职业健康安全</w:t>
                  </w:r>
                  <w:r>
                    <w:rPr>
                      <w:rFonts w:hint="eastAsia" w:ascii="宋体" w:hAnsi="宋体"/>
                    </w:rPr>
                    <w:t>目标</w:t>
                  </w:r>
                </w:p>
              </w:tc>
              <w:tc>
                <w:tcPr>
                  <w:tcW w:w="2498"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tcPr>
                <w:p>
                  <w:r>
                    <w:rPr>
                      <w:rFonts w:hint="eastAsia"/>
                    </w:rPr>
                    <w:t>重大火灾事故为零</w:t>
                  </w:r>
                </w:p>
              </w:tc>
              <w:tc>
                <w:tcPr>
                  <w:tcW w:w="2498"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tcPr>
                <w:p>
                  <w:r>
                    <w:rPr>
                      <w:rFonts w:hint="eastAsia"/>
                    </w:rPr>
                    <w:t>职业病发病率为零</w:t>
                  </w:r>
                </w:p>
              </w:tc>
              <w:tc>
                <w:tcPr>
                  <w:tcW w:w="2498"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tcPr>
                <w:p>
                  <w:r>
                    <w:rPr>
                      <w:rFonts w:hint="eastAsia"/>
                    </w:rPr>
                    <w:t>员工重大责任伤亡率为0</w:t>
                  </w:r>
                </w:p>
              </w:tc>
              <w:tc>
                <w:tcPr>
                  <w:tcW w:w="2498"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剪板机、冲压机、折弯机、冲床、切割机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A3"/>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sym w:font="Wingdings 2" w:char="0052"/>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于2022年5月16日进行了的演练；并总结了预案的可行性和有效性。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rPr>
            </w:pPr>
            <w:r>
              <w:rPr>
                <w:rFonts w:hint="eastAsia"/>
              </w:rPr>
              <w:t>组织已建立、实施并保持评价其合规义务履行情况所需的过程。</w:t>
            </w:r>
          </w:p>
          <w:p>
            <w:pPr>
              <w:pStyle w:val="2"/>
            </w:pPr>
          </w:p>
          <w:p>
            <w:r>
              <w:rPr>
                <w:rFonts w:hint="eastAsia"/>
              </w:rPr>
              <w:t>实施合规性评价的时间：</w:t>
            </w:r>
          </w:p>
          <w:p>
            <w:r>
              <w:rPr>
                <w:rFonts w:hint="eastAsia" w:ascii="Wingdings" w:hAnsi="Wingdings"/>
                <w:lang w:eastAsia="zh-CN"/>
              </w:rPr>
              <w:sym w:font="Wingdings 2" w:char="0052"/>
            </w:r>
            <w:r>
              <w:rPr>
                <w:rFonts w:hint="eastAsia"/>
              </w:rPr>
              <w:t>定期（每年）：2022年6月16日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6月27-28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最高管理者已按策划的时间间隔，在2022年7月8日对组织的职业健康安全管理体系进行了评审，以确保其持续的适宜性、充分性和有效性；管理评审输入、输出均按要求提供。并对提出的改进措施进行了落实。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bookmarkStart w:id="34" w:name="_GoBack"/>
            <w:bookmarkEnd w:id="34"/>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1B1E4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18679</Words>
  <Characters>19424</Characters>
  <Lines>150</Lines>
  <Paragraphs>42</Paragraphs>
  <TotalTime>1</TotalTime>
  <ScaleCrop>false</ScaleCrop>
  <LinksUpToDate>false</LinksUpToDate>
  <CharactersWithSpaces>19545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2022-09-25T03:21:40Z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