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0626-2022-QEO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福建颖华光电科技有限公司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2022年09月20日 上午至2022年09月20日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温红玲</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2022-N1QMS-3210533</w:t>
            </w:r>
          </w:p>
          <w:p>
            <w:pPr>
              <w:spacing w:line="240" w:lineRule="exact"/>
              <w:jc w:val="center"/>
              <w:rPr>
                <w:b/>
                <w:color w:val="000000"/>
                <w:szCs w:val="21"/>
              </w:rPr>
            </w:pPr>
            <w:r>
              <w:rPr>
                <w:b/>
                <w:color w:val="000000"/>
                <w:szCs w:val="21"/>
              </w:rPr>
              <w:t>2021-N1EMS-1210533</w:t>
            </w:r>
          </w:p>
          <w:p>
            <w:pPr>
              <w:spacing w:line="240" w:lineRule="exact"/>
              <w:jc w:val="center"/>
              <w:rPr>
                <w:b/>
                <w:color w:val="000000"/>
                <w:szCs w:val="21"/>
              </w:rPr>
            </w:pPr>
            <w:r>
              <w:rPr>
                <w:b/>
                <w:color w:val="000000"/>
                <w:szCs w:val="21"/>
              </w:rPr>
              <w:t>2021-N1OHSMS-1210533</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徐凯</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ISC-JSZJ-571</w:t>
            </w:r>
          </w:p>
          <w:p>
            <w:pPr>
              <w:spacing w:line="240" w:lineRule="exact"/>
              <w:jc w:val="center"/>
              <w:rPr>
                <w:b/>
                <w:color w:val="000000"/>
                <w:szCs w:val="21"/>
              </w:rPr>
            </w:pPr>
            <w:r>
              <w:rPr>
                <w:b/>
                <w:color w:val="000000"/>
                <w:szCs w:val="21"/>
              </w:rPr>
              <w:t>ISC-JSZJ-571</w:t>
            </w:r>
          </w:p>
          <w:p>
            <w:pPr>
              <w:spacing w:line="240" w:lineRule="exact"/>
              <w:jc w:val="center"/>
              <w:rPr>
                <w:b/>
                <w:color w:val="000000"/>
                <w:szCs w:val="21"/>
              </w:rPr>
            </w:pPr>
            <w:r>
              <w:rPr>
                <w:b/>
                <w:color w:val="000000"/>
                <w:szCs w:val="21"/>
              </w:rPr>
              <w:t>ISC-JSZJ-571</w:t>
            </w:r>
          </w:p>
          <w:p>
            <w:pPr>
              <w:spacing w:line="240" w:lineRule="exact"/>
              <w:jc w:val="center"/>
              <w:rPr>
                <w:b/>
                <w:color w:val="000000"/>
                <w:szCs w:val="21"/>
              </w:rPr>
            </w:pPr>
            <w:r>
              <w:rPr>
                <w:b/>
                <w:color w:val="000000"/>
                <w:szCs w:val="21"/>
              </w:rPr>
              <w:t>厦门万汇达电子科技有限公司</w:t>
            </w:r>
          </w:p>
        </w:tc>
        <w:tc>
          <w:tcPr>
            <w:tcW w:w="1140" w:type="dxa"/>
            <w:vAlign w:val="center"/>
          </w:tcPr>
          <w:p>
            <w:pPr>
              <w:spacing w:line="240" w:lineRule="exact"/>
              <w:jc w:val="center"/>
              <w:rPr>
                <w:b/>
                <w:color w:val="000000"/>
                <w:szCs w:val="21"/>
              </w:rPr>
            </w:pPr>
            <w:r>
              <w:rPr>
                <w:b/>
                <w:color w:val="000000"/>
                <w:szCs w:val="21"/>
              </w:rPr>
              <w:t>Q:19.01.01</w:t>
            </w:r>
          </w:p>
          <w:p>
            <w:pPr>
              <w:spacing w:line="240" w:lineRule="exact"/>
              <w:jc w:val="center"/>
              <w:rPr>
                <w:b/>
                <w:color w:val="000000"/>
                <w:szCs w:val="21"/>
              </w:rPr>
            </w:pPr>
            <w:r>
              <w:rPr>
                <w:b/>
                <w:color w:val="000000"/>
                <w:szCs w:val="21"/>
              </w:rPr>
              <w:t>E:19.01.01</w:t>
            </w:r>
          </w:p>
          <w:p>
            <w:pPr>
              <w:spacing w:line="240" w:lineRule="exact"/>
              <w:jc w:val="center"/>
              <w:rPr>
                <w:b/>
                <w:color w:val="000000"/>
                <w:szCs w:val="21"/>
              </w:rPr>
            </w:pPr>
            <w:r>
              <w:rPr>
                <w:b/>
                <w:color w:val="000000"/>
                <w:szCs w:val="21"/>
              </w:rPr>
              <w:t>O:19.01.01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2020-N1QMS-2226478</w:t>
            </w:r>
          </w:p>
          <w:p>
            <w:pPr>
              <w:spacing w:line="240" w:lineRule="exact"/>
              <w:jc w:val="center"/>
              <w:rPr>
                <w:b/>
                <w:color w:val="000000"/>
                <w:szCs w:val="21"/>
              </w:rPr>
            </w:pPr>
            <w:r>
              <w:rPr>
                <w:b/>
                <w:color w:val="000000"/>
                <w:szCs w:val="21"/>
              </w:rPr>
              <w:t>2020-N1EMS-2226478</w:t>
            </w:r>
          </w:p>
          <w:p>
            <w:pPr>
              <w:spacing w:line="240" w:lineRule="exact"/>
              <w:jc w:val="center"/>
              <w:rPr>
                <w:b/>
                <w:color w:val="000000"/>
                <w:szCs w:val="21"/>
              </w:rPr>
            </w:pPr>
            <w:r>
              <w:rPr>
                <w:b/>
                <w:color w:val="000000"/>
                <w:szCs w:val="21"/>
              </w:rPr>
              <w:t>2020-N1OHSMS-2226478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福建颖华光电科技有限公司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福建省泉州市晋江市罗山街道福埔社区福兴西路罗山段28号金锭慈善大厦2楼</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362216</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福建省泉州市晋江市罗山街道许坑社区</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362216</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洪香香</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0595-82991515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洪我抆</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洪香香</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服务：显示屏配件（导光板和扩散板）的委托加工</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rPr>
              <w:t>提供有受委托加工方——晋江市颖华光电科技有限公司 产品加工工艺流程：</w:t>
            </w:r>
          </w:p>
          <w:p>
            <w:pPr>
              <w:tabs>
                <w:tab w:val="left" w:pos="360"/>
              </w:tabs>
              <w:ind w:left="360" w:hanging="360"/>
              <w:rPr>
                <w:rFonts w:hint="eastAsia" w:ascii="宋体"/>
                <w:color w:val="000000"/>
                <w:szCs w:val="21"/>
              </w:rPr>
            </w:pPr>
            <w:r>
              <w:rPr>
                <w:rFonts w:hint="eastAsia" w:ascii="宋体"/>
                <w:color w:val="000000"/>
                <w:szCs w:val="21"/>
              </w:rPr>
              <w:t>采购导光板、扩散板半成品→裁板→抛光→检测→除尘→包装→成品；</w:t>
            </w:r>
          </w:p>
          <w:p>
            <w:pPr>
              <w:tabs>
                <w:tab w:val="left" w:pos="360"/>
              </w:tabs>
              <w:ind w:left="360" w:hanging="360"/>
              <w:jc w:val="left"/>
              <w:rPr>
                <w:rFonts w:hint="eastAsia" w:ascii="宋体"/>
                <w:color w:val="000000"/>
                <w:szCs w:val="21"/>
                <w:highlight w:val="yellow"/>
              </w:rPr>
            </w:pPr>
            <w:r>
              <w:rPr>
                <w:rFonts w:hint="eastAsia" w:ascii="宋体"/>
                <w:color w:val="000000"/>
                <w:szCs w:val="21"/>
                <w:highlight w:val="yellow"/>
              </w:rPr>
              <w:t>福建颖华光电科技有限公司 服务流程应为：</w:t>
            </w:r>
          </w:p>
          <w:p>
            <w:pPr>
              <w:tabs>
                <w:tab w:val="left" w:pos="360"/>
              </w:tabs>
              <w:ind w:left="360" w:hanging="360"/>
              <w:jc w:val="left"/>
              <w:rPr>
                <w:rFonts w:ascii="宋体"/>
                <w:color w:val="000000"/>
                <w:szCs w:val="21"/>
              </w:rPr>
            </w:pPr>
            <w:r>
              <w:rPr>
                <w:rFonts w:hint="eastAsia" w:ascii="宋体"/>
                <w:color w:val="000000"/>
                <w:szCs w:val="21"/>
                <w:highlight w:val="yellow"/>
              </w:rPr>
              <w:t>接受“显示屏配件（导光板和扩散板）订单——委托加工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显示屏配件（导光板和扩散板）的委托加工</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显示屏配件（导光板和扩散板）的委托加工所涉及场所的相关环境管理活动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显示屏配件（导光板和扩散板）的委托加工所涉及场所的相关职业健康安全管理活动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rPr>
            </w:pPr>
            <w:r>
              <w:rPr>
                <w:rFonts w:hint="eastAsia"/>
              </w:rPr>
              <w:t>如不一致，请简述不一致情况：</w:t>
            </w:r>
          </w:p>
          <w:p>
            <w:pPr>
              <w:pStyle w:val="2"/>
              <w:rPr>
                <w:rFonts w:hint="eastAsia" w:ascii="宋体" w:hAnsi="宋体"/>
                <w:b/>
                <w:color w:val="000000"/>
                <w:szCs w:val="21"/>
              </w:rPr>
            </w:pPr>
            <w:r>
              <w:rPr>
                <w:rFonts w:hint="eastAsia" w:ascii="宋体" w:hAnsi="宋体"/>
                <w:b/>
                <w:color w:val="000000"/>
                <w:szCs w:val="21"/>
                <w:lang w:val="en-US" w:eastAsia="zh-CN"/>
              </w:rPr>
              <w:t>现场服务：</w:t>
            </w:r>
            <w:r>
              <w:rPr>
                <w:rFonts w:hint="eastAsia" w:ascii="宋体" w:hAnsi="宋体"/>
                <w:b/>
                <w:color w:val="000000"/>
                <w:szCs w:val="21"/>
              </w:rPr>
              <w:t>显示屏配件（导光板和扩散板）的委托加工</w:t>
            </w:r>
          </w:p>
          <w:p>
            <w:pPr>
              <w:pStyle w:val="2"/>
              <w:rPr>
                <w:rFonts w:hint="default" w:ascii="宋体" w:hAnsi="宋体" w:eastAsia="宋体"/>
                <w:b/>
                <w:color w:val="000000"/>
                <w:szCs w:val="21"/>
                <w:lang w:val="en-US" w:eastAsia="zh-CN"/>
              </w:rPr>
            </w:pPr>
            <w:r>
              <w:rPr>
                <w:rFonts w:hint="eastAsia" w:ascii="宋体" w:hAnsi="宋体"/>
                <w:b/>
                <w:color w:val="000000"/>
                <w:szCs w:val="21"/>
                <w:lang w:val="en-US" w:eastAsia="zh-CN"/>
              </w:rPr>
              <w:t>代加工现场：暂无生产，设备在调试过程中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61"/>
        <w:gridCol w:w="1850"/>
        <w:gridCol w:w="550"/>
        <w:gridCol w:w="2920"/>
        <w:gridCol w:w="159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66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5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50"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920"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59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661" w:type="dxa"/>
          </w:tcPr>
          <w:p>
            <w:pPr>
              <w:spacing w:before="40" w:after="40"/>
              <w:rPr>
                <w:rFonts w:hint="eastAsia" w:eastAsia="黑体"/>
                <w:szCs w:val="21"/>
                <w:lang w:val="de-DE" w:eastAsia="ja-JP"/>
              </w:rPr>
            </w:pPr>
            <w:r>
              <w:rPr>
                <w:rFonts w:hint="eastAsia" w:eastAsia="黑体"/>
                <w:szCs w:val="21"/>
                <w:lang w:val="de-DE" w:eastAsia="ja-JP"/>
              </w:rPr>
              <w:t>福建颖华光电科技有限公司</w:t>
            </w:r>
          </w:p>
          <w:p>
            <w:pPr>
              <w:spacing w:before="40" w:after="40"/>
              <w:rPr>
                <w:rFonts w:eastAsia="黑体"/>
                <w:szCs w:val="21"/>
                <w:lang w:val="de-DE" w:eastAsia="ja-JP"/>
              </w:rPr>
            </w:pPr>
            <w:r>
              <w:rPr>
                <w:rFonts w:hint="eastAsia" w:eastAsia="黑体"/>
                <w:szCs w:val="21"/>
                <w:lang w:val="de-DE" w:eastAsia="ja-JP"/>
              </w:rPr>
              <w:t>福建省泉州市晋江市罗山街道福埔社区福 兴西路罗山段28号金锭慈善大厦2楼</w:t>
            </w:r>
          </w:p>
        </w:tc>
        <w:tc>
          <w:tcPr>
            <w:tcW w:w="1850" w:type="dxa"/>
          </w:tcPr>
          <w:p>
            <w:pPr>
              <w:spacing w:before="40" w:after="40"/>
              <w:rPr>
                <w:rFonts w:hint="eastAsia" w:eastAsia="黑体"/>
                <w:szCs w:val="21"/>
                <w:lang w:val="en-US" w:eastAsia="zh-CN"/>
              </w:rPr>
            </w:pPr>
            <w:r>
              <w:rPr>
                <w:rFonts w:hint="eastAsia" w:eastAsia="黑体"/>
                <w:szCs w:val="21"/>
                <w:lang w:val="en-US" w:eastAsia="zh-CN"/>
              </w:rPr>
              <w:t>办公地址：</w:t>
            </w:r>
            <w:r>
              <w:rPr>
                <w:rFonts w:hint="eastAsia" w:eastAsia="黑体"/>
                <w:szCs w:val="21"/>
                <w:lang w:val="de-DE" w:eastAsia="ja-JP"/>
              </w:rPr>
              <w:t>福建省泉州市晋江市罗山街道许坑社区</w:t>
            </w:r>
          </w:p>
          <w:p>
            <w:pPr>
              <w:spacing w:before="40" w:after="40"/>
              <w:rPr>
                <w:rFonts w:hint="default" w:eastAsia="黑体"/>
                <w:szCs w:val="21"/>
                <w:lang w:val="en-US" w:eastAsia="zh-CN"/>
              </w:rPr>
            </w:pPr>
            <w:r>
              <w:rPr>
                <w:rFonts w:hint="eastAsia" w:eastAsia="黑体"/>
                <w:szCs w:val="21"/>
                <w:lang w:val="en-US" w:eastAsia="zh-CN"/>
              </w:rPr>
              <w:t>委托加工地址：福建省泉州市晋江市龙湖镇陈店村恒宇工业区内</w:t>
            </w:r>
          </w:p>
        </w:tc>
        <w:tc>
          <w:tcPr>
            <w:tcW w:w="550" w:type="dxa"/>
            <w:vAlign w:val="center"/>
          </w:tcPr>
          <w:p>
            <w:pPr>
              <w:spacing w:before="40" w:after="40"/>
              <w:rPr>
                <w:rFonts w:hint="eastAsia" w:eastAsia="黑体"/>
                <w:szCs w:val="21"/>
                <w:lang w:val="en-US" w:eastAsia="zh-CN"/>
              </w:rPr>
            </w:pPr>
            <w:r>
              <w:rPr>
                <w:rFonts w:hint="eastAsia" w:eastAsia="黑体"/>
                <w:szCs w:val="21"/>
                <w:lang w:val="en-US" w:eastAsia="zh-CN"/>
              </w:rPr>
              <w:t>2/</w:t>
            </w:r>
          </w:p>
          <w:p>
            <w:pPr>
              <w:spacing w:before="40" w:after="40"/>
              <w:rPr>
                <w:rFonts w:hint="default" w:eastAsia="黑体"/>
                <w:szCs w:val="21"/>
                <w:lang w:val="en-US" w:eastAsia="zh-CN"/>
              </w:rPr>
            </w:pPr>
            <w:r>
              <w:rPr>
                <w:rFonts w:hint="eastAsia" w:eastAsia="黑体"/>
                <w:szCs w:val="21"/>
                <w:lang w:val="en-US" w:eastAsia="zh-CN"/>
              </w:rPr>
              <w:t>20</w:t>
            </w:r>
          </w:p>
        </w:tc>
        <w:tc>
          <w:tcPr>
            <w:tcW w:w="2920" w:type="dxa"/>
            <w:vAlign w:val="center"/>
          </w:tcPr>
          <w:p>
            <w:pPr>
              <w:pStyle w:val="20"/>
              <w:rPr>
                <w:rFonts w:hint="eastAsia" w:eastAsia="黑体" w:cs="Arial"/>
                <w:sz w:val="21"/>
                <w:szCs w:val="21"/>
                <w:lang w:val="en-US" w:eastAsia="ja-JP"/>
              </w:rPr>
            </w:pPr>
            <w:r>
              <w:rPr>
                <w:rFonts w:hint="eastAsia" w:eastAsia="黑体" w:cs="Arial"/>
                <w:sz w:val="21"/>
                <w:szCs w:val="21"/>
                <w:lang w:val="en-US" w:eastAsia="ja-JP"/>
              </w:rPr>
              <w:t>Q：显示屏配件（导光板和扩散板）的委托加工</w:t>
            </w:r>
          </w:p>
          <w:p>
            <w:pPr>
              <w:pStyle w:val="20"/>
              <w:rPr>
                <w:rFonts w:hint="eastAsia" w:eastAsia="黑体" w:cs="Arial"/>
                <w:sz w:val="21"/>
                <w:szCs w:val="21"/>
                <w:lang w:val="en-US" w:eastAsia="ja-JP"/>
              </w:rPr>
            </w:pPr>
            <w:r>
              <w:rPr>
                <w:rFonts w:hint="eastAsia" w:eastAsia="黑体" w:cs="Arial"/>
                <w:sz w:val="21"/>
                <w:szCs w:val="21"/>
                <w:lang w:val="en-US" w:eastAsia="ja-JP"/>
              </w:rPr>
              <w:t>E：显示屏配件（导光板和扩散板）的委托加工所涉及场所的相关环境管理活动</w:t>
            </w:r>
          </w:p>
          <w:p>
            <w:pPr>
              <w:pStyle w:val="20"/>
              <w:rPr>
                <w:rFonts w:eastAsia="黑体" w:cs="Arial"/>
                <w:sz w:val="21"/>
                <w:szCs w:val="21"/>
                <w:lang w:val="en-US" w:eastAsia="ja-JP"/>
              </w:rPr>
            </w:pPr>
            <w:r>
              <w:rPr>
                <w:rFonts w:hint="eastAsia" w:eastAsia="黑体" w:cs="Arial"/>
                <w:sz w:val="21"/>
                <w:szCs w:val="21"/>
                <w:lang w:val="en-US" w:eastAsia="ja-JP"/>
              </w:rPr>
              <w:t>O：显示屏配件（导光板和扩散板）的委托加工所涉及场所的相关职业健康安全管理活动</w:t>
            </w:r>
          </w:p>
        </w:tc>
        <w:tc>
          <w:tcPr>
            <w:tcW w:w="1596" w:type="dxa"/>
            <w:vAlign w:val="center"/>
          </w:tcPr>
          <w:p>
            <w:pPr>
              <w:spacing w:before="40" w:after="40"/>
              <w:rPr>
                <w:rFonts w:hint="eastAsia" w:eastAsia="黑体"/>
                <w:szCs w:val="21"/>
                <w:lang w:eastAsia="ja-JP"/>
              </w:rPr>
            </w:pPr>
            <w:r>
              <w:rPr>
                <w:rFonts w:hint="eastAsia" w:eastAsia="黑体"/>
                <w:szCs w:val="21"/>
                <w:lang w:eastAsia="ja-JP"/>
              </w:rPr>
              <w:t>GB/T19001-2016/ISO 9001:2015</w:t>
            </w:r>
          </w:p>
          <w:p>
            <w:pPr>
              <w:spacing w:before="40" w:after="40"/>
              <w:rPr>
                <w:rFonts w:eastAsia="黑体"/>
                <w:szCs w:val="21"/>
                <w:lang w:eastAsia="ja-JP"/>
              </w:rPr>
            </w:pPr>
            <w:r>
              <w:rPr>
                <w:rFonts w:hint="eastAsia" w:eastAsia="黑体"/>
                <w:szCs w:val="21"/>
                <w:lang w:eastAsia="ja-JP"/>
              </w:rPr>
              <w:t>GB/T24001-2016/ISO 14001:2015 GB/T 45001-2020/ISO45001：2018</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661" w:type="dxa"/>
            <w:vAlign w:val="center"/>
          </w:tcPr>
          <w:p>
            <w:pPr>
              <w:spacing w:before="40" w:after="40"/>
              <w:rPr>
                <w:rFonts w:eastAsia="黑体"/>
                <w:szCs w:val="21"/>
                <w:lang w:eastAsia="ja-JP"/>
              </w:rPr>
            </w:pPr>
          </w:p>
        </w:tc>
        <w:tc>
          <w:tcPr>
            <w:tcW w:w="1850" w:type="dxa"/>
            <w:vAlign w:val="center"/>
          </w:tcPr>
          <w:p>
            <w:pPr>
              <w:spacing w:before="40" w:after="40"/>
              <w:rPr>
                <w:rFonts w:eastAsia="黑体"/>
                <w:szCs w:val="21"/>
                <w:lang w:eastAsia="ja-JP"/>
              </w:rPr>
            </w:pPr>
          </w:p>
        </w:tc>
        <w:tc>
          <w:tcPr>
            <w:tcW w:w="550" w:type="dxa"/>
            <w:vAlign w:val="center"/>
          </w:tcPr>
          <w:p>
            <w:pPr>
              <w:spacing w:before="40" w:after="40"/>
              <w:rPr>
                <w:rFonts w:eastAsia="黑体"/>
                <w:szCs w:val="21"/>
                <w:lang w:eastAsia="ja-JP"/>
              </w:rPr>
            </w:pPr>
          </w:p>
        </w:tc>
        <w:tc>
          <w:tcPr>
            <w:tcW w:w="2920" w:type="dxa"/>
            <w:vAlign w:val="center"/>
          </w:tcPr>
          <w:p>
            <w:pPr>
              <w:spacing w:before="40" w:after="40"/>
              <w:rPr>
                <w:rFonts w:eastAsia="黑体"/>
                <w:szCs w:val="21"/>
                <w:lang w:eastAsia="ja-JP"/>
              </w:rPr>
            </w:pPr>
          </w:p>
        </w:tc>
        <w:tc>
          <w:tcPr>
            <w:tcW w:w="1596"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1661" w:type="dxa"/>
            <w:vAlign w:val="center"/>
          </w:tcPr>
          <w:p>
            <w:pPr>
              <w:spacing w:before="40" w:after="40"/>
              <w:rPr>
                <w:rFonts w:eastAsia="黑体"/>
                <w:szCs w:val="21"/>
                <w:lang w:eastAsia="ja-JP"/>
              </w:rPr>
            </w:pPr>
          </w:p>
        </w:tc>
        <w:tc>
          <w:tcPr>
            <w:tcW w:w="1850" w:type="dxa"/>
            <w:vAlign w:val="center"/>
          </w:tcPr>
          <w:p>
            <w:pPr>
              <w:spacing w:before="40" w:after="40"/>
              <w:rPr>
                <w:rFonts w:eastAsia="黑体"/>
                <w:szCs w:val="21"/>
                <w:lang w:eastAsia="ja-JP"/>
              </w:rPr>
            </w:pPr>
          </w:p>
        </w:tc>
        <w:tc>
          <w:tcPr>
            <w:tcW w:w="550" w:type="dxa"/>
            <w:vAlign w:val="center"/>
          </w:tcPr>
          <w:p>
            <w:pPr>
              <w:spacing w:before="40" w:after="40"/>
              <w:rPr>
                <w:rFonts w:eastAsia="黑体"/>
                <w:szCs w:val="21"/>
                <w:lang w:eastAsia="ja-JP"/>
              </w:rPr>
            </w:pPr>
          </w:p>
        </w:tc>
        <w:tc>
          <w:tcPr>
            <w:tcW w:w="2920" w:type="dxa"/>
            <w:vAlign w:val="center"/>
          </w:tcPr>
          <w:p>
            <w:pPr>
              <w:spacing w:before="40" w:after="40"/>
              <w:rPr>
                <w:rFonts w:eastAsia="黑体"/>
                <w:szCs w:val="21"/>
                <w:lang w:eastAsia="ja-JP"/>
              </w:rPr>
            </w:pPr>
          </w:p>
        </w:tc>
        <w:tc>
          <w:tcPr>
            <w:tcW w:w="1596"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1661" w:type="dxa"/>
            <w:vAlign w:val="center"/>
          </w:tcPr>
          <w:p>
            <w:pPr>
              <w:spacing w:before="40" w:after="40"/>
              <w:rPr>
                <w:rFonts w:eastAsia="黑体"/>
                <w:szCs w:val="21"/>
                <w:lang w:eastAsia="ja-JP"/>
              </w:rPr>
            </w:pPr>
          </w:p>
        </w:tc>
        <w:tc>
          <w:tcPr>
            <w:tcW w:w="1850" w:type="dxa"/>
            <w:vAlign w:val="center"/>
          </w:tcPr>
          <w:p>
            <w:pPr>
              <w:spacing w:before="40" w:after="40"/>
              <w:rPr>
                <w:rFonts w:eastAsia="黑体"/>
                <w:szCs w:val="21"/>
                <w:lang w:eastAsia="ja-JP"/>
              </w:rPr>
            </w:pPr>
          </w:p>
        </w:tc>
        <w:tc>
          <w:tcPr>
            <w:tcW w:w="550" w:type="dxa"/>
            <w:vAlign w:val="center"/>
          </w:tcPr>
          <w:p>
            <w:pPr>
              <w:spacing w:before="40" w:after="40"/>
              <w:rPr>
                <w:rFonts w:eastAsia="黑体"/>
                <w:szCs w:val="21"/>
                <w:lang w:eastAsia="ja-JP"/>
              </w:rPr>
            </w:pPr>
          </w:p>
        </w:tc>
        <w:tc>
          <w:tcPr>
            <w:tcW w:w="2920" w:type="dxa"/>
            <w:vAlign w:val="center"/>
          </w:tcPr>
          <w:p>
            <w:pPr>
              <w:spacing w:before="40" w:after="40"/>
              <w:rPr>
                <w:rFonts w:eastAsia="黑体"/>
                <w:szCs w:val="21"/>
                <w:lang w:eastAsia="ja-JP"/>
              </w:rPr>
            </w:pPr>
          </w:p>
        </w:tc>
        <w:tc>
          <w:tcPr>
            <w:tcW w:w="1596"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1661" w:type="dxa"/>
            <w:vAlign w:val="center"/>
          </w:tcPr>
          <w:p>
            <w:pPr>
              <w:spacing w:before="40" w:after="40"/>
              <w:rPr>
                <w:rFonts w:eastAsia="黑体"/>
                <w:szCs w:val="21"/>
                <w:lang w:eastAsia="ja-JP"/>
              </w:rPr>
            </w:pPr>
          </w:p>
        </w:tc>
        <w:tc>
          <w:tcPr>
            <w:tcW w:w="1850" w:type="dxa"/>
            <w:vAlign w:val="center"/>
          </w:tcPr>
          <w:p>
            <w:pPr>
              <w:spacing w:before="40" w:after="40"/>
              <w:rPr>
                <w:rFonts w:eastAsia="黑体"/>
                <w:szCs w:val="21"/>
                <w:lang w:eastAsia="ja-JP"/>
              </w:rPr>
            </w:pPr>
          </w:p>
        </w:tc>
        <w:tc>
          <w:tcPr>
            <w:tcW w:w="550" w:type="dxa"/>
            <w:vAlign w:val="center"/>
          </w:tcPr>
          <w:p>
            <w:pPr>
              <w:spacing w:before="40" w:after="40"/>
              <w:rPr>
                <w:rFonts w:eastAsia="黑体"/>
                <w:szCs w:val="21"/>
                <w:lang w:eastAsia="ja-JP"/>
              </w:rPr>
            </w:pPr>
          </w:p>
        </w:tc>
        <w:tc>
          <w:tcPr>
            <w:tcW w:w="2920" w:type="dxa"/>
            <w:vAlign w:val="center"/>
          </w:tcPr>
          <w:p>
            <w:pPr>
              <w:spacing w:before="40" w:after="40"/>
              <w:rPr>
                <w:rFonts w:eastAsia="黑体"/>
                <w:szCs w:val="21"/>
                <w:lang w:eastAsia="ja-JP"/>
              </w:rPr>
            </w:pPr>
          </w:p>
        </w:tc>
        <w:tc>
          <w:tcPr>
            <w:tcW w:w="1596"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hint="eastAsia" w:ascii="Segoe UI Symbol" w:hAnsi="Segoe UI Symbol" w:eastAsia="黑体" w:cs="Segoe UI Symbol"/>
                    <w:szCs w:val="21"/>
                    <w:lang w:eastAsia="zh-CN"/>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sym w:font="Wingdings 2" w:char="00A3"/>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于2022年3月1日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2022年7月20日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2022年8月20日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ascii="宋体"/>
                <w:color w:val="000000"/>
                <w:szCs w:val="21"/>
              </w:rPr>
              <w:t>裁板、抛光</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pacing w:val="-10"/>
                <w:szCs w:val="21"/>
              </w:rPr>
              <w:t>裁板、抛光</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52"/>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gridAfter w:val="1"/>
          <w:wAfter w:w="9" w:type="dxa"/>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sym w:font="Wingdings 2" w:char="0052"/>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sym w:font="Wingdings 2" w:char="00A3"/>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w:t>
            </w:r>
            <w:r>
              <w:rPr>
                <w:rFonts w:hint="eastAsia" w:ascii="宋体"/>
                <w:color w:val="000000"/>
                <w:spacing w:val="-10"/>
                <w:szCs w:val="21"/>
              </w:rPr>
              <w:sym w:font="Wingdings 2" w:char="0052"/>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5"/>
            <w:shd w:val="clear" w:color="auto" w:fill="F3F3F3"/>
            <w:vAlign w:val="center"/>
          </w:tcPr>
          <w:p>
            <w:pPr>
              <w:spacing w:before="40" w:after="40"/>
              <w:rPr>
                <w:rFonts w:hint="eastAsia" w:ascii="Wingdings" w:hAnsi="Wingdings" w:eastAsia="黑体"/>
                <w:b/>
                <w:szCs w:val="21"/>
              </w:rPr>
            </w:pP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hint="default" w:ascii="宋体" w:eastAsia="宋体"/>
                <w:b/>
                <w:color w:val="000000"/>
                <w:szCs w:val="21"/>
                <w:u w:val="single"/>
                <w:lang w:val="en-US" w:eastAsia="zh-CN"/>
              </w:rPr>
            </w:pPr>
            <w:r>
              <w:rPr>
                <w:rFonts w:hint="eastAsia" w:ascii="宋体" w:hAnsi="宋体"/>
                <w:b/>
                <w:color w:val="000000"/>
                <w:szCs w:val="21"/>
              </w:rPr>
              <w:t>□</w:t>
            </w:r>
            <w:r>
              <w:rPr>
                <w:rFonts w:hint="eastAsia" w:ascii="宋体"/>
                <w:b/>
                <w:color w:val="000000"/>
                <w:szCs w:val="21"/>
              </w:rPr>
              <w:t>具有</w:t>
            </w:r>
            <w:r>
              <w:rPr>
                <w:rFonts w:hint="eastAsia" w:ascii="宋体" w:hAnsi="宋体"/>
                <w:b/>
                <w:color w:val="000000"/>
                <w:szCs w:val="21"/>
              </w:rPr>
              <w:sym w:font="Wingdings 2" w:char="0052"/>
            </w:r>
            <w:r>
              <w:rPr>
                <w:rFonts w:hint="eastAsia" w:ascii="宋体"/>
                <w:b/>
                <w:color w:val="000000"/>
                <w:szCs w:val="21"/>
              </w:rPr>
              <w:t>不具有</w:t>
            </w:r>
            <w:r>
              <w:rPr>
                <w:rFonts w:hint="eastAsia" w:ascii="宋体" w:hAnsi="宋体"/>
                <w:b/>
                <w:color w:val="000000"/>
                <w:szCs w:val="21"/>
              </w:rPr>
              <w:t>，说明：</w:t>
            </w:r>
            <w:r>
              <w:rPr>
                <w:rFonts w:hint="eastAsia" w:ascii="宋体" w:hAnsi="宋体"/>
                <w:b/>
                <w:color w:val="000000"/>
                <w:szCs w:val="21"/>
                <w:lang w:val="en-US" w:eastAsia="zh-CN"/>
              </w:rPr>
              <w:t>注册地址仅注册，经营地址在建，受委托加工方暂无生产</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b/>
                <w:color w:val="000000"/>
                <w:szCs w:val="21"/>
              </w:rPr>
            </w:pPr>
            <w:r>
              <w:rPr>
                <w:rFonts w:hint="eastAsia" w:ascii="宋体" w:hAnsi="宋体"/>
                <w:b/>
                <w:color w:val="000000"/>
                <w:szCs w:val="21"/>
                <w:lang w:val="en-US" w:eastAsia="zh-CN"/>
              </w:rPr>
              <w:t>受委托加工方——</w:t>
            </w:r>
            <w:r>
              <w:rPr>
                <w:rFonts w:hint="eastAsia" w:ascii="宋体"/>
                <w:b/>
                <w:color w:val="000000"/>
                <w:szCs w:val="21"/>
              </w:rPr>
              <w:t>晋江市颖华光电科技有限公司</w:t>
            </w:r>
          </w:p>
          <w:p>
            <w:pPr>
              <w:spacing w:line="360" w:lineRule="auto"/>
              <w:rPr>
                <w:rFonts w:hint="eastAsia" w:ascii="宋体"/>
                <w:b/>
                <w:color w:val="000000"/>
                <w:szCs w:val="21"/>
              </w:rPr>
            </w:pPr>
            <w:r>
              <w:rPr>
                <w:rFonts w:hint="eastAsia" w:ascii="宋体"/>
                <w:b/>
                <w:color w:val="000000"/>
                <w:szCs w:val="21"/>
              </w:rPr>
              <w:t>距离</w:t>
            </w:r>
            <w:r>
              <w:rPr>
                <w:rFonts w:hint="eastAsia" w:ascii="宋体"/>
                <w:b/>
                <w:color w:val="000000"/>
                <w:szCs w:val="21"/>
                <w:lang w:val="en-US" w:eastAsia="zh-CN"/>
              </w:rPr>
              <w:t xml:space="preserve"> 经营地址（即</w:t>
            </w:r>
            <w:r>
              <w:rPr>
                <w:rFonts w:hint="eastAsia" w:ascii="宋体"/>
                <w:b/>
                <w:color w:val="000000"/>
                <w:szCs w:val="21"/>
              </w:rPr>
              <w:t>办公地址</w:t>
            </w:r>
            <w:r>
              <w:rPr>
                <w:rFonts w:hint="eastAsia" w:ascii="宋体"/>
                <w:b/>
                <w:color w:val="000000"/>
                <w:szCs w:val="21"/>
                <w:lang w:eastAsia="zh-CN"/>
              </w:rPr>
              <w:t>）——</w:t>
            </w:r>
            <w:r>
              <w:rPr>
                <w:rFonts w:hint="eastAsia" w:ascii="宋体"/>
                <w:b/>
                <w:color w:val="000000"/>
                <w:szCs w:val="21"/>
              </w:rPr>
              <w:t>福建颖华光电科技有限公司</w:t>
            </w:r>
          </w:p>
          <w:p>
            <w:pPr>
              <w:spacing w:line="360" w:lineRule="auto"/>
              <w:rPr>
                <w:rFonts w:ascii="宋体"/>
                <w:b/>
                <w:color w:val="000000"/>
                <w:szCs w:val="21"/>
              </w:rPr>
            </w:pPr>
            <w:r>
              <w:rPr>
                <w:rFonts w:hint="eastAsia" w:ascii="宋体"/>
                <w:b/>
                <w:color w:val="000000"/>
                <w:szCs w:val="21"/>
                <w:lang w:val="en-US" w:eastAsia="zh-CN"/>
              </w:rPr>
              <w:t>约</w:t>
            </w:r>
            <w:r>
              <w:rPr>
                <w:rFonts w:hint="eastAsia" w:ascii="宋体"/>
                <w:b/>
                <w:color w:val="000000"/>
                <w:szCs w:val="21"/>
              </w:rPr>
              <w:t>0.5小时车程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hint="default" w:ascii="宋体" w:eastAsia="宋体"/>
                <w:b/>
                <w:color w:val="000000"/>
                <w:szCs w:val="21"/>
                <w:lang w:val="en-US" w:eastAsia="zh-CN"/>
              </w:rPr>
            </w:pPr>
            <w:r>
              <w:rPr>
                <w:rFonts w:hint="eastAsia" w:ascii="宋体" w:hAnsi="宋体"/>
                <w:b/>
                <w:color w:val="000000"/>
                <w:szCs w:val="21"/>
              </w:rPr>
              <w:sym w:font="Wingdings 2" w:char="0052"/>
            </w:r>
            <w:r>
              <w:rPr>
                <w:rFonts w:hint="eastAsia" w:ascii="宋体"/>
                <w:b/>
                <w:color w:val="000000"/>
                <w:szCs w:val="21"/>
              </w:rPr>
              <w:t>调整审核方案的理由：</w:t>
            </w:r>
            <w:r>
              <w:rPr>
                <w:rFonts w:hint="eastAsia" w:ascii="宋体"/>
                <w:b/>
                <w:color w:val="000000"/>
                <w:szCs w:val="21"/>
                <w:lang w:val="en-US" w:eastAsia="zh-CN"/>
              </w:rPr>
              <w:t>生产现场不具备，受审核方要求变更认证范围“委托加工”为“加工”</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r>
              <w:rPr>
                <w:rFonts w:hint="eastAsia" w:ascii="宋体"/>
                <w:b/>
                <w:color w:val="000000"/>
                <w:szCs w:val="21"/>
                <w:lang w:val="en-US" w:eastAsia="zh-CN"/>
              </w:rPr>
              <w:t>2022年1月底</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t>显示屏配件（导光板和扩散板）的加工</w:t>
            </w:r>
          </w:p>
        </w:tc>
        <w:tc>
          <w:tcPr>
            <w:tcW w:w="1541" w:type="dxa"/>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显示屏配件（导光板和扩散板）的加工所涉及场所的相关环境管理活动</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val="en-US" w:eastAsia="zh-CN"/>
              </w:rPr>
              <w:t>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t>显示屏配件（导光板和扩散板）的加工所涉及场所的相关职业健康安全管理活动</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lang w:val="en-US" w:eastAsia="zh-CN"/>
              </w:rPr>
              <w:t>19.01.01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4070"/>
        <w:gridCol w:w="1940"/>
        <w:gridCol w:w="1385"/>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66" w:type="dxa"/>
            <w:vAlign w:val="center"/>
          </w:tcPr>
          <w:p>
            <w:pPr>
              <w:snapToGrid w:val="0"/>
              <w:spacing w:line="280" w:lineRule="exact"/>
              <w:jc w:val="center"/>
              <w:rPr>
                <w:b/>
                <w:bCs/>
                <w:color w:val="000000"/>
                <w:szCs w:val="21"/>
              </w:rPr>
            </w:pPr>
            <w:r>
              <w:rPr>
                <w:rFonts w:hint="eastAsia"/>
                <w:b/>
                <w:bCs/>
                <w:color w:val="000000"/>
                <w:szCs w:val="21"/>
              </w:rPr>
              <w:t>序号</w:t>
            </w:r>
          </w:p>
        </w:tc>
        <w:tc>
          <w:tcPr>
            <w:tcW w:w="6010"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385"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666"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010" w:type="dxa"/>
            <w:gridSpan w:val="2"/>
            <w:vAlign w:val="center"/>
          </w:tcPr>
          <w:p>
            <w:pPr>
              <w:pStyle w:val="7"/>
              <w:numPr>
                <w:ilvl w:val="0"/>
                <w:numId w:val="3"/>
              </w:numPr>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审核范围企业要求调整：原“委托加工”现调整为</w:t>
            </w:r>
            <w:bookmarkStart w:id="35" w:name="_GoBack"/>
            <w:bookmarkEnd w:id="35"/>
            <w:r>
              <w:rPr>
                <w:rFonts w:hint="eastAsia"/>
                <w:color w:val="000000"/>
                <w:sz w:val="21"/>
                <w:szCs w:val="21"/>
                <w:lang w:val="en-US" w:eastAsia="zh-CN"/>
              </w:rPr>
              <w:t>“加工”。</w:t>
            </w:r>
          </w:p>
          <w:p>
            <w:pPr>
              <w:pStyle w:val="7"/>
              <w:numPr>
                <w:ilvl w:val="0"/>
                <w:numId w:val="3"/>
              </w:numPr>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查经营地址：实际现场在建；查委托加工地址：现场无生产。</w:t>
            </w:r>
          </w:p>
        </w:tc>
        <w:tc>
          <w:tcPr>
            <w:tcW w:w="1385" w:type="dxa"/>
            <w:vAlign w:val="center"/>
          </w:tcPr>
          <w:p>
            <w:pPr>
              <w:pStyle w:val="2"/>
              <w:rPr>
                <w:rFonts w:hint="default"/>
                <w:lang w:val="en-US" w:eastAsia="zh-CN"/>
              </w:rPr>
            </w:pPr>
            <w:r>
              <w:rPr>
                <w:rFonts w:hint="eastAsia" w:ascii="宋体" w:hAnsi="宋体"/>
                <w:b/>
                <w:sz w:val="21"/>
                <w:szCs w:val="21"/>
              </w:rPr>
              <w:t>GB/T19001-2016</w:t>
            </w:r>
          </w:p>
        </w:tc>
        <w:tc>
          <w:tcPr>
            <w:tcW w:w="1133" w:type="dxa"/>
            <w:vAlign w:val="center"/>
          </w:tcPr>
          <w:p>
            <w:pPr>
              <w:bidi w:val="0"/>
              <w:rPr>
                <w:rFonts w:hint="eastAsia"/>
                <w:lang w:val="en-US" w:eastAsia="zh-CN"/>
              </w:rPr>
            </w:pPr>
            <w:r>
              <w:rPr>
                <w:rFonts w:hint="eastAsia"/>
                <w:lang w:val="en-US" w:eastAsia="zh-CN"/>
              </w:rPr>
              <w:t>7.1.4</w:t>
            </w:r>
          </w:p>
          <w:p>
            <w:pPr>
              <w:bidi w:val="0"/>
            </w:pPr>
            <w:r>
              <w:rPr>
                <w:rFonts w:hint="eastAsia"/>
                <w:lang w:val="en-US" w:eastAsia="zh-CN"/>
              </w:rPr>
              <w:t>8.5.1</w:t>
            </w:r>
          </w:p>
        </w:tc>
        <w:tc>
          <w:tcPr>
            <w:tcW w:w="934" w:type="dxa"/>
            <w:vAlign w:val="center"/>
          </w:tcPr>
          <w:p>
            <w:pPr>
              <w:pStyle w:val="7"/>
              <w:pBdr>
                <w:bottom w:val="none" w:color="auto" w:sz="0" w:space="0"/>
              </w:pBdr>
              <w:ind w:right="600"/>
              <w:jc w:val="center"/>
              <w:rPr>
                <w:rFonts w:hint="eastAsia" w:eastAsia="宋体"/>
                <w:color w:val="000000"/>
                <w:sz w:val="21"/>
                <w:szCs w:val="21"/>
                <w:lang w:val="en-US" w:eastAsia="zh-CN"/>
              </w:rPr>
            </w:pPr>
            <w:r>
              <w:rPr>
                <w:rFonts w:hint="eastAsia"/>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666" w:type="dxa"/>
            <w:vAlign w:val="center"/>
          </w:tcPr>
          <w:p>
            <w:pPr>
              <w:pStyle w:val="7"/>
              <w:pBdr>
                <w:bottom w:val="none" w:color="auto" w:sz="0" w:space="0"/>
              </w:pBdr>
              <w:ind w:right="600"/>
              <w:jc w:val="both"/>
              <w:rPr>
                <w:rFonts w:ascii="宋体"/>
                <w:color w:val="000000"/>
                <w:sz w:val="21"/>
                <w:szCs w:val="21"/>
              </w:rPr>
            </w:pPr>
          </w:p>
        </w:tc>
        <w:tc>
          <w:tcPr>
            <w:tcW w:w="6010"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85"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666" w:type="dxa"/>
            <w:vAlign w:val="center"/>
          </w:tcPr>
          <w:p>
            <w:pPr>
              <w:pStyle w:val="7"/>
              <w:pBdr>
                <w:bottom w:val="none" w:color="auto" w:sz="0" w:space="0"/>
              </w:pBdr>
              <w:ind w:right="600"/>
              <w:jc w:val="both"/>
              <w:rPr>
                <w:rFonts w:ascii="宋体"/>
                <w:color w:val="000000"/>
                <w:sz w:val="21"/>
                <w:szCs w:val="21"/>
              </w:rPr>
            </w:pPr>
          </w:p>
        </w:tc>
        <w:tc>
          <w:tcPr>
            <w:tcW w:w="6010"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85"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666" w:type="dxa"/>
            <w:vAlign w:val="center"/>
          </w:tcPr>
          <w:p>
            <w:pPr>
              <w:pStyle w:val="7"/>
              <w:pBdr>
                <w:bottom w:val="none" w:color="auto" w:sz="0" w:space="0"/>
              </w:pBdr>
              <w:ind w:right="600"/>
              <w:jc w:val="both"/>
              <w:rPr>
                <w:rFonts w:ascii="宋体"/>
                <w:color w:val="000000"/>
                <w:sz w:val="21"/>
                <w:szCs w:val="21"/>
              </w:rPr>
            </w:pPr>
          </w:p>
        </w:tc>
        <w:tc>
          <w:tcPr>
            <w:tcW w:w="6010"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85"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666" w:type="dxa"/>
            <w:vAlign w:val="center"/>
          </w:tcPr>
          <w:p>
            <w:pPr>
              <w:pStyle w:val="7"/>
              <w:pBdr>
                <w:bottom w:val="none" w:color="auto" w:sz="0" w:space="0"/>
              </w:pBdr>
              <w:ind w:right="600"/>
              <w:jc w:val="both"/>
              <w:rPr>
                <w:rFonts w:ascii="宋体"/>
                <w:color w:val="000000"/>
                <w:sz w:val="21"/>
                <w:szCs w:val="21"/>
              </w:rPr>
            </w:pPr>
          </w:p>
        </w:tc>
        <w:tc>
          <w:tcPr>
            <w:tcW w:w="6010"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1385"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rFonts w:hint="eastAsia" w:eastAsia="宋体"/>
                <w:b/>
                <w:color w:val="000000"/>
                <w:szCs w:val="21"/>
                <w:lang w:eastAsia="zh-CN"/>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rFonts w:hint="eastAsia"/>
                <w:b/>
                <w:color w:val="000000"/>
                <w:spacing w:val="-10"/>
                <w:szCs w:val="21"/>
                <w:lang w:eastAsia="zh-CN"/>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w:t>
            </w:r>
            <w:r>
              <w:rPr>
                <w:rFonts w:hint="eastAsia"/>
                <w:b/>
                <w:color w:val="000000"/>
                <w:spacing w:val="-10"/>
                <w:szCs w:val="21"/>
              </w:rPr>
              <w:sym w:font="Wingdings 2" w:char="0052"/>
            </w:r>
            <w:r>
              <w:rPr>
                <w:rFonts w:hint="eastAsia"/>
                <w:b/>
                <w:color w:val="000000"/>
                <w:spacing w:val="-10"/>
                <w:szCs w:val="21"/>
              </w:rPr>
              <w:t>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Adobe Myungjo Std M"/>
    <w:panose1 w:val="02020609040205080304"/>
    <w:charset w:val="80"/>
    <w:family w:val="modern"/>
    <w:pitch w:val="default"/>
    <w:sig w:usb0="00000000" w:usb1="00000000" w:usb2="00000010" w:usb3="00000000" w:csb0="0002009F" w:csb1="00000000"/>
  </w:font>
  <w:font w:name="Adobe Myungjo Std M">
    <w:panose1 w:val="02020600000000000000"/>
    <w:charset w:val="80"/>
    <w:family w:val="auto"/>
    <w:pitch w:val="default"/>
    <w:sig w:usb0="800002A7" w:usb1="29D7FCFB" w:usb2="00000010" w:usb3="00000000" w:csb0="402A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5110480</wp:posOffset>
              </wp:positionH>
              <wp:positionV relativeFrom="paragraph">
                <wp:posOffset>144145</wp:posOffset>
              </wp:positionV>
              <wp:extent cx="1032510" cy="256540"/>
              <wp:effectExtent l="0" t="0" r="8890" b="10160"/>
              <wp:wrapNone/>
              <wp:docPr id="2" name="文本框 1"/>
              <wp:cNvGraphicFramePr/>
              <a:graphic xmlns:a="http://schemas.openxmlformats.org/drawingml/2006/main">
                <a:graphicData uri="http://schemas.microsoft.com/office/word/2010/wordprocessingShape">
                  <wps:wsp>
                    <wps:cNvSpPr txBox="1"/>
                    <wps:spPr>
                      <a:xfrm>
                        <a:off x="0" y="0"/>
                        <a:ext cx="10325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wps:txbx>
                    <wps:bodyPr upright="1"/>
                  </wps:wsp>
                </a:graphicData>
              </a:graphic>
            </wp:anchor>
          </w:drawing>
        </mc:Choice>
        <mc:Fallback>
          <w:pict>
            <v:shape id="文本框 1" o:spid="_x0000_s1026" o:spt="202" type="#_x0000_t202" style="position:absolute;left:0pt;margin-left:402.4pt;margin-top:11.35pt;height:20.2pt;width:81.3pt;z-index:251659264;mso-width-relative:page;mso-height-relative:page;" fillcolor="#FFFFFF" filled="t" stroked="f" coordsize="21600,21600" o:gfxdata="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ohZx3XAAAACQEAAA8AAAAAAAAAAQAgAAAAIgAAAGRycy9kb3ducmV2Lnht&#10;bFBLAQIUABQAAAAIAIdO4kApao6YwQEAAHcDAAAOAAAAAAAAAAEAIAAAACYBAABkcnMvZTJvRG9j&#10;LnhtbFBLBQYAAAAABgAGAFkBAABZ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mc:Fallback>
      </mc:AlternateConten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0E5E5FEF"/>
    <w:multiLevelType w:val="singleLevel"/>
    <w:tmpl w:val="0E5E5FEF"/>
    <w:lvl w:ilvl="0" w:tentative="0">
      <w:start w:val="1"/>
      <w:numFmt w:val="decimal"/>
      <w:suff w:val="nothing"/>
      <w:lvlText w:val="%1）"/>
      <w:lvlJc w:val="left"/>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TRhZmMwYTZhMGE0NzY5YTQ4OGYyNzNkZGE0NDYifQ=="/>
  </w:docVars>
  <w:rsids>
    <w:rsidRoot w:val="00000000"/>
    <w:rsid w:val="05110DF2"/>
    <w:rsid w:val="075D5067"/>
    <w:rsid w:val="2C6721E1"/>
    <w:rsid w:val="4E10402F"/>
    <w:rsid w:val="515D35DC"/>
    <w:rsid w:val="5BDB5C7C"/>
    <w:rsid w:val="6126799A"/>
    <w:rsid w:val="75165A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2022-10-02T16:16:19Z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8534E27A8D1E44688C8A0B43F09DA7D1</vt:lpwstr>
  </property>
  <property fmtid="{D5CDD505-2E9C-101B-9397-08002B2CF9AE}" pid="3" name="KSOProductBuildVer">
    <vt:lpwstr>2052-11.1.0.12358</vt:lpwstr>
  </property>
</Properties>
</file>