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1033-2022-QEO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江西讯森智能科技有限公司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江西讯森智能科技有限公司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江西省宜春市樟树市四特大道盛世壹品小区一栋一单元201号商铺</w:t>
            </w:r>
            <w:bookmarkEnd w:id="6"/>
          </w:p>
        </w:tc>
        <w:tc>
          <w:tcPr>
            <w:tcW w:w="1242" w:type="dxa"/>
            <w:vMerge w:val="restart"/>
            <w:vAlign w:val="center"/>
          </w:tcPr>
          <w:p>
            <w:r>
              <w:rPr>
                <w:rFonts w:hint="eastAsia"/>
              </w:rPr>
              <w:t>邮编</w:t>
            </w:r>
          </w:p>
        </w:tc>
        <w:tc>
          <w:tcPr>
            <w:tcW w:w="1771" w:type="dxa"/>
          </w:tcPr>
          <w:p>
            <w:bookmarkStart w:id="7" w:name="注册邮编"/>
            <w:r>
              <w:t>331200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江西省宜春市樟树市四特大道盛世壹品小区一栋一单元201号商铺</w:t>
            </w:r>
            <w:bookmarkEnd w:id="8"/>
          </w:p>
        </w:tc>
        <w:tc>
          <w:tcPr>
            <w:tcW w:w="1242" w:type="dxa"/>
            <w:vMerge w:val="continue"/>
            <w:vAlign w:val="center"/>
          </w:tcPr>
          <w:p/>
        </w:tc>
        <w:tc>
          <w:tcPr>
            <w:tcW w:w="1771" w:type="dxa"/>
          </w:tcPr>
          <w:p>
            <w:bookmarkStart w:id="9" w:name="办公邮编"/>
            <w:r>
              <w:t>331200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黄云刚</w:t>
            </w:r>
            <w:bookmarkEnd w:id="10"/>
          </w:p>
        </w:tc>
        <w:tc>
          <w:tcPr>
            <w:tcW w:w="1313" w:type="dxa"/>
            <w:vAlign w:val="center"/>
          </w:tcPr>
          <w:p>
            <w:r>
              <w:rPr>
                <w:rFonts w:hint="eastAsia"/>
              </w:rPr>
              <w:t>电话.</w:t>
            </w:r>
          </w:p>
        </w:tc>
        <w:tc>
          <w:tcPr>
            <w:tcW w:w="2180" w:type="dxa"/>
            <w:vAlign w:val="center"/>
          </w:tcPr>
          <w:p>
            <w:bookmarkStart w:id="11" w:name="联系人电话"/>
            <w:r>
              <w:t>13657951888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杨金福</w:t>
            </w:r>
            <w:bookmarkEnd w:id="13"/>
          </w:p>
        </w:tc>
        <w:tc>
          <w:tcPr>
            <w:tcW w:w="1313" w:type="dxa"/>
            <w:vAlign w:val="center"/>
          </w:tcPr>
          <w:p>
            <w:r>
              <w:rPr>
                <w:rFonts w:hint="eastAsia"/>
              </w:rPr>
              <w:t>管理者代表</w:t>
            </w:r>
          </w:p>
        </w:tc>
        <w:tc>
          <w:tcPr>
            <w:tcW w:w="2180" w:type="dxa"/>
          </w:tcPr>
          <w:p>
            <w:bookmarkStart w:id="14" w:name="管理者代表"/>
            <w:r>
              <w:t>黄云刚</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rPr>
                <w:rFonts w:hint="eastAsia" w:ascii="Times New Roman" w:hAnsi="Times New Roman" w:eastAsia="宋体" w:cs="Times New Roman"/>
                <w:szCs w:val="22"/>
                <w:highlight w:val="none"/>
                <w:lang w:val="en-US" w:eastAsia="zh-CN"/>
              </w:rPr>
            </w:pPr>
            <w:r>
              <w:rPr>
                <w:rFonts w:hint="eastAsia" w:ascii="Times New Roman" w:hAnsi="Times New Roman" w:eastAsia="宋体" w:cs="Times New Roman"/>
                <w:szCs w:val="22"/>
                <w:highlight w:val="none"/>
                <w:lang w:val="en-US" w:eastAsia="zh-CN"/>
              </w:rPr>
              <w:t>系统研发：</w:t>
            </w:r>
          </w:p>
          <w:p>
            <w:pPr>
              <w:spacing w:line="360" w:lineRule="auto"/>
              <w:rPr>
                <w:rFonts w:hint="eastAsia" w:ascii="Times New Roman" w:hAnsi="Times New Roman" w:eastAsia="宋体" w:cs="Times New Roman"/>
                <w:szCs w:val="22"/>
                <w:highlight w:val="none"/>
                <w:lang w:val="en-US" w:eastAsia="zh-CN"/>
              </w:rPr>
            </w:pPr>
            <w:r>
              <w:rPr>
                <w:rFonts w:hint="eastAsia" w:ascii="Times New Roman" w:hAnsi="Times New Roman" w:eastAsia="宋体" w:cs="Times New Roman"/>
                <w:szCs w:val="22"/>
                <w:highlight w:val="none"/>
                <w:lang w:val="en-US" w:eastAsia="zh-CN"/>
              </w:rPr>
              <w:t>系统分析——概要设计——详细设计——编码——测试——交付验收</w:t>
            </w:r>
          </w:p>
          <w:p>
            <w:pPr>
              <w:spacing w:line="360" w:lineRule="auto"/>
              <w:rPr>
                <w:rFonts w:hint="eastAsia" w:ascii="Times New Roman" w:hAnsi="Times New Roman" w:eastAsia="宋体" w:cs="Times New Roman"/>
                <w:szCs w:val="22"/>
                <w:highlight w:val="none"/>
                <w:lang w:val="en-US" w:eastAsia="zh-CN"/>
              </w:rPr>
            </w:pPr>
            <w:r>
              <w:rPr>
                <w:rFonts w:hint="eastAsia" w:ascii="Times New Roman" w:hAnsi="Times New Roman" w:eastAsia="宋体" w:cs="Times New Roman"/>
                <w:szCs w:val="22"/>
                <w:highlight w:val="none"/>
                <w:lang w:val="en-US" w:eastAsia="zh-CN"/>
              </w:rPr>
              <w:t>销售：</w:t>
            </w:r>
          </w:p>
          <w:p>
            <w:pPr>
              <w:spacing w:line="360" w:lineRule="auto"/>
            </w:pPr>
            <w:r>
              <w:rPr>
                <w:rFonts w:hint="eastAsia" w:ascii="Times New Roman" w:hAnsi="Times New Roman" w:eastAsia="宋体" w:cs="Times New Roman"/>
                <w:szCs w:val="22"/>
                <w:highlight w:val="none"/>
                <w:lang w:val="en-US" w:eastAsia="zh-CN"/>
              </w:rPr>
              <w:t>产品要求信息获取----产品要求评审-----签订合同----采购 -----质检------交付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2022年09月15日 上午至2022年09月17日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rFonts w:hint="eastAsia"/>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p>
          <w:p>
            <w:pPr>
              <w:rPr>
                <w:lang w:val="de-DE"/>
              </w:rPr>
            </w:pPr>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Q：智慧图书馆（库）/智慧档案馆（库）系统、智能书架/智能密集架及控制系统、恒温恒湿及环境监测系统的研发和销售</w:t>
            </w:r>
          </w:p>
          <w:p>
            <w:r>
              <w:t>E：智慧图书馆（库）/智慧档案馆（库）系统、智能书架/智能密集架及控制系统、恒温恒湿及环境监测系统的研发和销售所涉及场所的相关环境管理活动</w:t>
            </w:r>
          </w:p>
          <w:p>
            <w:r>
              <w:t>O：智慧图书馆（库）/智慧档案馆（库）系统、智能书架/智能密集架及控制系统、恒温恒湿及环境监测系统的研发和销售所涉及场所的相关职业健康安全管理活动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Q：33.02.01</w:t>
            </w:r>
          </w:p>
          <w:p>
            <w:r>
              <w:t>E：33.02.01</w:t>
            </w:r>
          </w:p>
          <w:p>
            <w:r>
              <w:t>O：33.02.01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体系文件实施时间</w:t>
            </w:r>
          </w:p>
        </w:tc>
        <w:tc>
          <w:tcPr>
            <w:tcW w:w="2733" w:type="dxa"/>
          </w:tcPr>
          <w:p>
            <w:r>
              <w:rPr>
                <w:rFonts w:hint="eastAsia"/>
              </w:rPr>
              <w:t>2022年04月10日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13-14</w:t>
            </w:r>
            <w:r>
              <w:rPr>
                <w:rFonts w:hint="eastAsia"/>
              </w:rPr>
              <w:t>日</w:t>
            </w:r>
            <w:r>
              <w:rPr>
                <w:rFonts w:hint="eastAsia"/>
                <w:lang w:eastAsia="zh-CN"/>
              </w:rPr>
              <w:t>（一阶段）</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江西讯森智能科技有限公司</w:t>
            </w:r>
          </w:p>
          <w:p>
            <w:pPr>
              <w:rPr>
                <w:lang w:val="de-DE" w:eastAsia="ja-JP"/>
              </w:rPr>
            </w:pPr>
            <w:r>
              <w:rPr>
                <w:rFonts w:hint="eastAsia"/>
                <w:lang w:val="de-DE" w:eastAsia="ja-JP"/>
              </w:rPr>
              <w:t>江西省宜春市樟树市四特大道盛世壹品小区一栋一单元201号商铺</w:t>
            </w:r>
          </w:p>
        </w:tc>
        <w:tc>
          <w:tcPr>
            <w:tcW w:w="2267" w:type="dxa"/>
          </w:tcPr>
          <w:p>
            <w:pPr>
              <w:rPr>
                <w:lang w:val="de-DE" w:eastAsia="ja-JP"/>
              </w:rPr>
            </w:pPr>
            <w:r>
              <w:rPr>
                <w:rFonts w:hint="eastAsia"/>
                <w:lang w:val="de-DE" w:eastAsia="ja-JP"/>
              </w:rPr>
              <w:t>江西省宜春市樟树市四特大道盛世壹品小区一栋一单元201号商铺</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rPr>
                <w:rFonts w:hint="eastAsia"/>
                <w:lang w:eastAsia="ja-JP"/>
              </w:rPr>
              <w:t>智慧图书馆（库）/智慧档案馆（库）系统、智能书架/智能密集架及控制系统、恒温恒湿及环境监测系统的研发和销售</w:t>
            </w:r>
          </w:p>
        </w:tc>
        <w:tc>
          <w:tcPr>
            <w:tcW w:w="669" w:type="dxa"/>
            <w:vAlign w:val="center"/>
          </w:tcPr>
          <w:p>
            <w:pPr>
              <w:rPr>
                <w:lang w:eastAsia="ja-JP"/>
              </w:rPr>
            </w:pPr>
            <w:r>
              <w:rPr>
                <w:rFonts w:hint="eastAsia"/>
                <w:lang w:eastAsia="ja-JP"/>
              </w:rPr>
              <w:t>QEO</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0"/>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0" w:type="dxa"/>
          </w:tcPr>
          <w:p>
            <w:r>
              <w:rPr>
                <w:rFonts w:hint="eastAsia"/>
              </w:rPr>
              <w:t>影响审核方案的事项</w:t>
            </w:r>
          </w:p>
        </w:tc>
        <w:tc>
          <w:tcPr>
            <w:tcW w:w="7471"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0" w:type="dxa"/>
          </w:tcPr>
          <w:p>
            <w:r>
              <w:rPr>
                <w:rFonts w:hint="eastAsia"/>
              </w:rPr>
              <w:t>理由说明</w:t>
            </w:r>
          </w:p>
          <w:p/>
        </w:tc>
        <w:tc>
          <w:tcPr>
            <w:tcW w:w="7471"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p>
            <w:r>
              <w:t>2021-N1EMS-3068076</w:t>
            </w:r>
          </w:p>
          <w:p>
            <w:r>
              <w:t>2022-N1OHSMS-3068076</w:t>
            </w:r>
          </w:p>
        </w:tc>
        <w:tc>
          <w:tcPr>
            <w:tcW w:w="2179" w:type="dxa"/>
            <w:vAlign w:val="center"/>
          </w:tcPr>
          <w:p>
            <w:r>
              <w:t>Q:33.02.01</w:t>
            </w:r>
          </w:p>
          <w:p>
            <w:r>
              <w:t>E:33.02.01</w:t>
            </w:r>
          </w:p>
          <w:p>
            <w:r>
              <w:t>O:33.02.01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numId w:val="0"/>
        </w:numPr>
      </w:pPr>
    </w:p>
    <w:p>
      <w:pPr>
        <w:numPr>
          <w:numId w:val="0"/>
        </w:numPr>
      </w:pPr>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未提出问题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768"/>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932" w:type="dxa"/>
            <w:shd w:val="clear" w:color="auto" w:fill="auto"/>
          </w:tcPr>
          <w:p>
            <w:r>
              <w:rPr>
                <w:rFonts w:hint="eastAsia"/>
              </w:rPr>
              <w:t>推荐内容</w:t>
            </w:r>
          </w:p>
        </w:tc>
        <w:tc>
          <w:tcPr>
            <w:tcW w:w="8148"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32" w:type="dxa"/>
            <w:vMerge w:val="restart"/>
            <w:shd w:val="clear" w:color="auto" w:fill="auto"/>
          </w:tcPr>
          <w:p>
            <w:r>
              <w:rPr>
                <w:rFonts w:hint="eastAsia"/>
              </w:rPr>
              <w:t>管理体系评价</w:t>
            </w:r>
          </w:p>
        </w:tc>
        <w:tc>
          <w:tcPr>
            <w:tcW w:w="8148"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32" w:type="dxa"/>
            <w:vMerge w:val="continue"/>
            <w:shd w:val="clear" w:color="auto" w:fill="auto"/>
          </w:tcPr>
          <w:p/>
        </w:tc>
        <w:tc>
          <w:tcPr>
            <w:tcW w:w="8148"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32" w:type="dxa"/>
            <w:vMerge w:val="continue"/>
            <w:shd w:val="clear" w:color="auto" w:fill="auto"/>
          </w:tcPr>
          <w:p/>
        </w:tc>
        <w:tc>
          <w:tcPr>
            <w:tcW w:w="8148"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32" w:type="dxa"/>
            <w:vMerge w:val="continue"/>
            <w:shd w:val="clear" w:color="auto" w:fill="auto"/>
          </w:tcPr>
          <w:p/>
        </w:tc>
        <w:tc>
          <w:tcPr>
            <w:tcW w:w="8148"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32" w:type="dxa"/>
            <w:vMerge w:val="restart"/>
            <w:shd w:val="clear" w:color="auto" w:fill="auto"/>
          </w:tcPr>
          <w:p>
            <w:r>
              <w:rPr>
                <w:rFonts w:hint="eastAsia"/>
              </w:rPr>
              <w:t>对审核范围适宜性结论</w:t>
            </w:r>
          </w:p>
          <w:p/>
        </w:tc>
        <w:tc>
          <w:tcPr>
            <w:tcW w:w="8148"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32" w:type="dxa"/>
            <w:vMerge w:val="continue"/>
            <w:shd w:val="clear" w:color="auto" w:fill="auto"/>
          </w:tcPr>
          <w:p/>
        </w:tc>
        <w:tc>
          <w:tcPr>
            <w:tcW w:w="8148"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32" w:type="dxa"/>
            <w:vMerge w:val="continue"/>
            <w:shd w:val="clear" w:color="auto" w:fill="auto"/>
          </w:tcPr>
          <w:p/>
        </w:tc>
        <w:tc>
          <w:tcPr>
            <w:tcW w:w="768"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32" w:type="dxa"/>
            <w:vMerge w:val="continue"/>
            <w:shd w:val="clear" w:color="auto" w:fill="auto"/>
          </w:tcPr>
          <w:p/>
        </w:tc>
        <w:tc>
          <w:tcPr>
            <w:tcW w:w="768"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32" w:type="dxa"/>
            <w:vMerge w:val="continue"/>
            <w:shd w:val="clear" w:color="auto" w:fill="auto"/>
          </w:tcPr>
          <w:p/>
        </w:tc>
        <w:tc>
          <w:tcPr>
            <w:tcW w:w="768"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32" w:type="dxa"/>
            <w:vMerge w:val="continue"/>
            <w:shd w:val="clear" w:color="auto" w:fill="auto"/>
          </w:tcPr>
          <w:p/>
        </w:tc>
        <w:tc>
          <w:tcPr>
            <w:tcW w:w="768"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32" w:type="dxa"/>
            <w:vMerge w:val="restart"/>
            <w:shd w:val="clear" w:color="auto" w:fill="auto"/>
          </w:tcPr>
          <w:p>
            <w:r>
              <w:rPr>
                <w:rFonts w:hint="eastAsia"/>
              </w:rPr>
              <w:t>审核组推荐意见</w:t>
            </w:r>
          </w:p>
          <w:p/>
        </w:tc>
        <w:tc>
          <w:tcPr>
            <w:tcW w:w="8148"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32" w:type="dxa"/>
            <w:vMerge w:val="continue"/>
            <w:shd w:val="clear" w:color="auto" w:fill="auto"/>
          </w:tcPr>
          <w:p/>
        </w:tc>
        <w:tc>
          <w:tcPr>
            <w:tcW w:w="8148"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32" w:type="dxa"/>
            <w:vMerge w:val="continue"/>
            <w:shd w:val="clear" w:color="auto" w:fill="auto"/>
          </w:tcPr>
          <w:p/>
        </w:tc>
        <w:tc>
          <w:tcPr>
            <w:tcW w:w="8148"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32" w:type="dxa"/>
            <w:vMerge w:val="continue"/>
            <w:shd w:val="clear" w:color="auto" w:fill="auto"/>
          </w:tcPr>
          <w:p/>
        </w:tc>
        <w:tc>
          <w:tcPr>
            <w:tcW w:w="8148"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32" w:type="dxa"/>
            <w:vMerge w:val="continue"/>
            <w:shd w:val="clear" w:color="auto" w:fill="auto"/>
          </w:tcPr>
          <w:p/>
        </w:tc>
        <w:tc>
          <w:tcPr>
            <w:tcW w:w="8148"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32" w:type="dxa"/>
            <w:vMerge w:val="continue"/>
            <w:shd w:val="clear" w:color="auto" w:fill="auto"/>
          </w:tcPr>
          <w:p/>
        </w:tc>
        <w:tc>
          <w:tcPr>
            <w:tcW w:w="8148"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32" w:type="dxa"/>
            <w:vMerge w:val="continue"/>
            <w:shd w:val="clear" w:color="auto" w:fill="auto"/>
          </w:tcPr>
          <w:p/>
        </w:tc>
        <w:tc>
          <w:tcPr>
            <w:tcW w:w="8148"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32" w:type="dxa"/>
            <w:vMerge w:val="continue"/>
            <w:shd w:val="clear" w:color="auto" w:fill="auto"/>
          </w:tcPr>
          <w:p/>
        </w:tc>
        <w:tc>
          <w:tcPr>
            <w:tcW w:w="8148"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32" w:type="dxa"/>
            <w:vMerge w:val="continue"/>
            <w:shd w:val="clear" w:color="auto" w:fill="auto"/>
          </w:tcPr>
          <w:p/>
        </w:tc>
        <w:tc>
          <w:tcPr>
            <w:tcW w:w="8148"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32"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148"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32"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148"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23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9"/>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939"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939"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939"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939" w:type="dxa"/>
          </w:tcPr>
          <w:p>
            <w:r>
              <w:rPr>
                <w:rFonts w:hint="eastAsia"/>
              </w:rPr>
              <w:t>审核组长签字</w:t>
            </w:r>
          </w:p>
        </w:tc>
        <w:tc>
          <w:tcPr>
            <w:tcW w:w="2764" w:type="dxa"/>
            <w:tcMar>
              <w:left w:w="113" w:type="dxa"/>
            </w:tcMar>
          </w:tcPr>
          <w:p>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25400</wp:posOffset>
                  </wp:positionH>
                  <wp:positionV relativeFrom="paragraph">
                    <wp:posOffset>21590</wp:posOffset>
                  </wp:positionV>
                  <wp:extent cx="899795" cy="542290"/>
                  <wp:effectExtent l="0" t="0" r="14605" b="10795"/>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99795" cy="54229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2022.9.18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sym w:font="Wingdings 2" w:char="0052"/>
            </w:r>
            <w:r>
              <w:rPr>
                <w:rFonts w:hint="eastAsia"/>
              </w:rPr>
              <w:t>新产品设计开发□原材料采购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u w:val="single"/>
              </w:rPr>
            </w:pPr>
            <w:r>
              <w:rPr>
                <w:rFonts w:hint="eastAsia"/>
                <w:u w:val="single"/>
              </w:rPr>
              <w:t xml:space="preserve">质量至上、持续创新、诚实守信、顾客至上 </w:t>
            </w:r>
          </w:p>
          <w:p>
            <w:pPr>
              <w:shd w:val="clear" w:color="auto" w:fill="C7DAF1" w:themeFill="text2" w:themeFillTint="32"/>
              <w:rPr>
                <w:u w:val="single"/>
              </w:rPr>
            </w:pPr>
            <w:r>
              <w:rPr>
                <w:rFonts w:hint="eastAsia"/>
                <w:u w:val="single"/>
              </w:rPr>
              <w:t>预防为主，降低风险；遵章守法，创造和谐</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5"/>
              <w:gridCol w:w="178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5" w:type="dxa"/>
                </w:tcPr>
                <w:p>
                  <w:pPr>
                    <w:shd w:val="clear" w:color="auto" w:fill="C7DAF1" w:themeFill="text2" w:themeFillTint="32"/>
                  </w:pPr>
                  <w:r>
                    <w:rPr>
                      <w:rFonts w:hint="eastAsia"/>
                    </w:rPr>
                    <w:t>主要的风险或机遇描述</w:t>
                  </w:r>
                </w:p>
              </w:tc>
              <w:tc>
                <w:tcPr>
                  <w:tcW w:w="1780"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5" w:type="dxa"/>
                </w:tcPr>
                <w:p>
                  <w:pPr>
                    <w:shd w:val="clear" w:color="auto" w:fill="C7DAF1" w:themeFill="text2" w:themeFillTint="32"/>
                  </w:pPr>
                  <w:r>
                    <w:rPr>
                      <w:rFonts w:hint="eastAsia"/>
                    </w:rPr>
                    <w:t>信息化和智能化成为趋势</w:t>
                  </w:r>
                </w:p>
              </w:tc>
              <w:tc>
                <w:tcPr>
                  <w:tcW w:w="1780" w:type="dxa"/>
                </w:tcPr>
                <w:p>
                  <w:pPr>
                    <w:shd w:val="clear" w:color="auto" w:fill="C7DAF1" w:themeFill="text2" w:themeFillTint="32"/>
                    <w:rPr>
                      <w:rFonts w:hint="eastAsia" w:eastAsia="宋体"/>
                      <w:lang w:eastAsia="zh-CN"/>
                    </w:rPr>
                  </w:pPr>
                  <w:r>
                    <w:rPr>
                      <w:rFonts w:hint="eastAsia"/>
                      <w:lang w:eastAsia="zh-CN"/>
                    </w:rPr>
                    <w:t>建立管理体系</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5" w:type="dxa"/>
                </w:tcPr>
                <w:p>
                  <w:pPr>
                    <w:shd w:val="clear" w:color="auto" w:fill="C7DAF1" w:themeFill="text2" w:themeFillTint="32"/>
                  </w:pPr>
                  <w:r>
                    <w:rPr>
                      <w:rFonts w:hint="eastAsia"/>
                    </w:rPr>
                    <w:t>市场竞争越来越激烈，研发风险较高</w:t>
                  </w:r>
                </w:p>
              </w:tc>
              <w:tc>
                <w:tcPr>
                  <w:tcW w:w="1780" w:type="dxa"/>
                  <w:vAlign w:val="top"/>
                </w:tcPr>
                <w:p>
                  <w:pPr>
                    <w:shd w:val="clear" w:color="auto" w:fill="C7DAF1" w:themeFill="text2" w:themeFillTint="32"/>
                  </w:pPr>
                  <w:r>
                    <w:rPr>
                      <w:rFonts w:hint="eastAsia"/>
                      <w:lang w:eastAsia="zh-CN"/>
                    </w:rPr>
                    <w:t>建立管理体系</w:t>
                  </w:r>
                </w:p>
              </w:tc>
              <w:tc>
                <w:tcPr>
                  <w:tcW w:w="1717" w:type="dxa"/>
                  <w:vAlign w:val="top"/>
                </w:tcPr>
                <w:p>
                  <w:pPr>
                    <w:shd w:val="clear" w:color="auto" w:fill="C7DAF1" w:themeFill="text2"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5" w:type="dxa"/>
                </w:tcPr>
                <w:p>
                  <w:pPr>
                    <w:shd w:val="clear" w:color="auto" w:fill="C7DAF1" w:themeFill="text2" w:themeFillTint="32"/>
                  </w:pPr>
                </w:p>
              </w:tc>
              <w:tc>
                <w:tcPr>
                  <w:tcW w:w="1780"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5" w:type="dxa"/>
                </w:tcPr>
                <w:p>
                  <w:pPr>
                    <w:shd w:val="clear" w:color="auto" w:fill="C7DAF1" w:themeFill="text2" w:themeFillTint="32"/>
                  </w:pPr>
                </w:p>
              </w:tc>
              <w:tc>
                <w:tcPr>
                  <w:tcW w:w="1780"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3"/>
              <w:gridCol w:w="3341"/>
              <w:gridCol w:w="1077"/>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341"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077"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05"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shd w:val="clear" w:color="auto" w:fill="auto"/>
                  <w:vAlign w:val="top"/>
                </w:tcPr>
                <w:p>
                  <w:pPr>
                    <w:shd w:val="clear" w:color="auto" w:fill="C7DAF1" w:themeFill="text2" w:themeFillTint="32"/>
                    <w:jc w:val="left"/>
                    <w:rPr>
                      <w:rFonts w:hint="eastAsia" w:ascii="宋体" w:hAnsi="宋体" w:eastAsia="宋体" w:cs="Times New Roman"/>
                      <w:lang w:val="en-US" w:eastAsia="zh-CN"/>
                    </w:rPr>
                  </w:pPr>
                  <w:r>
                    <w:rPr>
                      <w:rFonts w:hint="eastAsia" w:ascii="宋体" w:hAnsi="宋体" w:eastAsia="宋体" w:cs="Times New Roman"/>
                      <w:lang w:val="en-GB" w:eastAsia="zh-CN"/>
                    </w:rPr>
                    <w:t>顾客满意度≥96%以上；</w:t>
                  </w:r>
                </w:p>
              </w:tc>
              <w:tc>
                <w:tcPr>
                  <w:tcW w:w="3341" w:type="dxa"/>
                  <w:shd w:val="clear" w:color="auto" w:fill="auto"/>
                  <w:vAlign w:val="top"/>
                </w:tcPr>
                <w:p>
                  <w:pPr>
                    <w:shd w:val="clear" w:color="auto" w:fill="C7DAF1" w:themeFill="text2" w:themeFillTint="32"/>
                    <w:jc w:val="left"/>
                    <w:rPr>
                      <w:rFonts w:hint="eastAsia" w:ascii="宋体" w:hAnsi="宋体" w:eastAsia="宋体" w:cs="Times New Roman"/>
                      <w:lang w:val="en-GB" w:eastAsia="zh-CN"/>
                    </w:rPr>
                  </w:pPr>
                  <w:r>
                    <w:rPr>
                      <w:rFonts w:hint="eastAsia" w:ascii="宋体" w:hAnsi="宋体" w:eastAsia="宋体" w:cs="Times New Roman"/>
                      <w:lang w:val="en-GB" w:eastAsia="zh-CN"/>
                    </w:rPr>
                    <w:t>调查单位中满意总分数÷调查单位数×100%</w:t>
                  </w:r>
                </w:p>
              </w:tc>
              <w:tc>
                <w:tcPr>
                  <w:tcW w:w="1077" w:type="dxa"/>
                  <w:shd w:val="clear" w:color="auto" w:fill="auto"/>
                  <w:vAlign w:val="center"/>
                </w:tcPr>
                <w:p>
                  <w:pPr>
                    <w:shd w:val="clear" w:color="auto" w:fill="C7DAF1" w:themeFill="text2" w:themeFillTint="32"/>
                    <w:jc w:val="center"/>
                    <w:rPr>
                      <w:rFonts w:hint="eastAsia" w:ascii="宋体" w:hAnsi="宋体" w:eastAsia="宋体" w:cs="Times New Roman"/>
                      <w:lang w:val="en-GB" w:eastAsia="zh-CN"/>
                    </w:rPr>
                  </w:pPr>
                  <w:r>
                    <w:rPr>
                      <w:rFonts w:hint="eastAsia" w:ascii="宋体" w:hAnsi="宋体" w:eastAsia="宋体" w:cs="Times New Roman"/>
                      <w:lang w:val="en-GB" w:eastAsia="zh-CN"/>
                    </w:rPr>
                    <w:t>业务部</w:t>
                  </w:r>
                </w:p>
              </w:tc>
              <w:tc>
                <w:tcPr>
                  <w:tcW w:w="1705" w:type="dxa"/>
                  <w:shd w:val="clear" w:color="auto" w:fill="auto"/>
                  <w:vAlign w:val="center"/>
                </w:tcPr>
                <w:p>
                  <w:pPr>
                    <w:shd w:val="clear" w:color="auto" w:fill="C7DAF1" w:themeFill="text2"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shd w:val="clear" w:color="auto" w:fill="auto"/>
                  <w:vAlign w:val="top"/>
                </w:tcPr>
                <w:p>
                  <w:pPr>
                    <w:shd w:val="clear" w:color="auto" w:fill="C7DAF1" w:themeFill="text2" w:themeFillTint="32"/>
                    <w:jc w:val="left"/>
                    <w:rPr>
                      <w:rFonts w:hint="eastAsia" w:ascii="宋体" w:hAnsi="宋体" w:eastAsia="宋体" w:cs="Times New Roman"/>
                      <w:lang w:val="en-US" w:eastAsia="zh-CN"/>
                    </w:rPr>
                  </w:pPr>
                  <w:r>
                    <w:rPr>
                      <w:rFonts w:hint="eastAsia" w:ascii="宋体" w:hAnsi="宋体" w:eastAsia="宋体" w:cs="Times New Roman"/>
                      <w:lang w:val="en-GB" w:eastAsia="zh-CN"/>
                    </w:rPr>
                    <w:t>顾客反馈及时处理率≧95%；</w:t>
                  </w:r>
                </w:p>
              </w:tc>
              <w:tc>
                <w:tcPr>
                  <w:tcW w:w="3341" w:type="dxa"/>
                  <w:shd w:val="clear" w:color="auto" w:fill="auto"/>
                  <w:vAlign w:val="top"/>
                </w:tcPr>
                <w:p>
                  <w:pPr>
                    <w:shd w:val="clear" w:color="auto" w:fill="C7DAF1" w:themeFill="text2" w:themeFillTint="32"/>
                    <w:jc w:val="left"/>
                    <w:rPr>
                      <w:rFonts w:hint="eastAsia" w:ascii="宋体" w:hAnsi="宋体" w:eastAsia="宋体" w:cs="Times New Roman"/>
                      <w:lang w:val="en-US" w:eastAsia="zh-CN"/>
                    </w:rPr>
                  </w:pPr>
                  <w:r>
                    <w:rPr>
                      <w:rFonts w:hint="eastAsia" w:ascii="宋体" w:hAnsi="宋体" w:eastAsia="宋体" w:cs="Times New Roman"/>
                      <w:lang w:val="en-GB" w:eastAsia="zh-CN"/>
                    </w:rPr>
                    <w:t>在标准时间内反馈客户意见的次数/总共需要反馈的次数*100%</w:t>
                  </w:r>
                </w:p>
              </w:tc>
              <w:tc>
                <w:tcPr>
                  <w:tcW w:w="1077" w:type="dxa"/>
                  <w:shd w:val="clear" w:color="auto" w:fill="auto"/>
                  <w:vAlign w:val="center"/>
                </w:tcPr>
                <w:p>
                  <w:pPr>
                    <w:shd w:val="clear" w:color="auto" w:fill="C7DAF1" w:themeFill="text2" w:themeFillTint="32"/>
                    <w:jc w:val="center"/>
                    <w:rPr>
                      <w:rFonts w:hint="eastAsia" w:ascii="宋体" w:hAnsi="宋体" w:eastAsia="宋体" w:cs="Times New Roman"/>
                      <w:lang w:val="en-GB" w:eastAsia="zh-CN"/>
                    </w:rPr>
                  </w:pPr>
                  <w:r>
                    <w:rPr>
                      <w:rFonts w:hint="eastAsia" w:ascii="宋体" w:hAnsi="宋体" w:eastAsia="宋体" w:cs="Times New Roman"/>
                      <w:lang w:val="en-GB" w:eastAsia="zh-CN"/>
                    </w:rPr>
                    <w:t>业务部</w:t>
                  </w:r>
                </w:p>
              </w:tc>
              <w:tc>
                <w:tcPr>
                  <w:tcW w:w="1705"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shd w:val="clear" w:color="auto" w:fill="auto"/>
                  <w:vAlign w:val="top"/>
                </w:tcPr>
                <w:p>
                  <w:pPr>
                    <w:shd w:val="clear" w:color="auto" w:fill="C7DAF1" w:themeFill="text2" w:themeFillTint="32"/>
                    <w:jc w:val="left"/>
                    <w:rPr>
                      <w:rFonts w:hint="eastAsia" w:ascii="宋体" w:hAnsi="宋体" w:eastAsia="宋体" w:cs="Times New Roman"/>
                      <w:lang w:val="en-US" w:eastAsia="zh-CN"/>
                    </w:rPr>
                  </w:pPr>
                  <w:r>
                    <w:rPr>
                      <w:rFonts w:hint="eastAsia" w:ascii="宋体" w:hAnsi="宋体" w:eastAsia="宋体" w:cs="Times New Roman"/>
                      <w:lang w:val="en-GB" w:eastAsia="zh-CN"/>
                    </w:rPr>
                    <w:t>技术最终成果优良率≧90%</w:t>
                  </w:r>
                </w:p>
              </w:tc>
              <w:tc>
                <w:tcPr>
                  <w:tcW w:w="3341" w:type="dxa"/>
                  <w:shd w:val="clear" w:color="auto" w:fill="auto"/>
                  <w:vAlign w:val="top"/>
                </w:tcPr>
                <w:p>
                  <w:pPr>
                    <w:shd w:val="clear" w:color="auto" w:fill="C7DAF1" w:themeFill="text2" w:themeFillTint="32"/>
                    <w:jc w:val="left"/>
                    <w:rPr>
                      <w:rFonts w:hint="eastAsia" w:ascii="宋体" w:hAnsi="宋体" w:eastAsia="宋体" w:cs="Times New Roman"/>
                      <w:lang w:val="en-US" w:eastAsia="zh-CN"/>
                    </w:rPr>
                  </w:pPr>
                  <w:r>
                    <w:rPr>
                      <w:rFonts w:hint="eastAsia" w:ascii="宋体" w:hAnsi="宋体" w:eastAsia="宋体" w:cs="Times New Roman"/>
                      <w:lang w:val="en-GB" w:eastAsia="zh-CN"/>
                    </w:rPr>
                    <w:t>技术最终成果优良数/研发成果总数</w:t>
                  </w:r>
                </w:p>
              </w:tc>
              <w:tc>
                <w:tcPr>
                  <w:tcW w:w="1077" w:type="dxa"/>
                  <w:shd w:val="clear" w:color="auto" w:fill="auto"/>
                  <w:vAlign w:val="center"/>
                </w:tcPr>
                <w:p>
                  <w:pPr>
                    <w:shd w:val="clear" w:color="auto" w:fill="C7DAF1" w:themeFill="text2" w:themeFillTint="32"/>
                    <w:jc w:val="center"/>
                    <w:rPr>
                      <w:rFonts w:hint="eastAsia" w:ascii="宋体" w:hAnsi="宋体" w:eastAsia="宋体" w:cs="Times New Roman"/>
                      <w:lang w:val="en-GB" w:eastAsia="zh-CN"/>
                    </w:rPr>
                  </w:pPr>
                  <w:r>
                    <w:rPr>
                      <w:rFonts w:hint="eastAsia" w:ascii="宋体" w:hAnsi="宋体" w:eastAsia="宋体" w:cs="Times New Roman"/>
                      <w:lang w:val="en-GB" w:eastAsia="zh-CN"/>
                    </w:rPr>
                    <w:t>技术部</w:t>
                  </w:r>
                </w:p>
              </w:tc>
              <w:tc>
                <w:tcPr>
                  <w:tcW w:w="1705"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shd w:val="clear" w:color="auto" w:fill="auto"/>
                </w:tcPr>
                <w:p>
                  <w:pPr>
                    <w:shd w:val="clear" w:color="auto" w:fill="C7DAF1" w:themeFill="text2" w:themeFillTint="32"/>
                  </w:pPr>
                </w:p>
              </w:tc>
              <w:tc>
                <w:tcPr>
                  <w:tcW w:w="3341" w:type="dxa"/>
                  <w:shd w:val="clear" w:color="auto" w:fill="auto"/>
                  <w:vAlign w:val="center"/>
                </w:tcPr>
                <w:p>
                  <w:pPr>
                    <w:shd w:val="clear" w:color="auto" w:fill="C7DAF1" w:themeFill="text2" w:themeFillTint="32"/>
                    <w:rPr>
                      <w:rFonts w:ascii="宋体" w:hAnsi="宋体"/>
                    </w:rPr>
                  </w:pPr>
                </w:p>
              </w:tc>
              <w:tc>
                <w:tcPr>
                  <w:tcW w:w="1077" w:type="dxa"/>
                  <w:shd w:val="clear" w:color="auto" w:fill="auto"/>
                  <w:vAlign w:val="center"/>
                </w:tcPr>
                <w:p>
                  <w:pPr>
                    <w:shd w:val="clear" w:color="auto" w:fill="C7DAF1" w:themeFill="text2" w:themeFillTint="32"/>
                    <w:rPr>
                      <w:rFonts w:ascii="宋体" w:hAnsi="宋体"/>
                    </w:rPr>
                  </w:pPr>
                </w:p>
              </w:tc>
              <w:tc>
                <w:tcPr>
                  <w:tcW w:w="1705"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shd w:val="clear" w:color="auto" w:fill="auto"/>
                </w:tcPr>
                <w:p>
                  <w:pPr>
                    <w:shd w:val="clear" w:color="auto" w:fill="C7DAF1" w:themeFill="text2" w:themeFillTint="32"/>
                  </w:pPr>
                </w:p>
              </w:tc>
              <w:tc>
                <w:tcPr>
                  <w:tcW w:w="3341" w:type="dxa"/>
                  <w:shd w:val="clear" w:color="auto" w:fill="auto"/>
                  <w:vAlign w:val="center"/>
                </w:tcPr>
                <w:p>
                  <w:pPr>
                    <w:shd w:val="clear" w:color="auto" w:fill="C7DAF1" w:themeFill="text2" w:themeFillTint="32"/>
                    <w:rPr>
                      <w:rFonts w:ascii="宋体" w:hAnsi="宋体"/>
                    </w:rPr>
                  </w:pPr>
                </w:p>
              </w:tc>
              <w:tc>
                <w:tcPr>
                  <w:tcW w:w="1077" w:type="dxa"/>
                  <w:shd w:val="clear" w:color="auto" w:fill="auto"/>
                  <w:vAlign w:val="center"/>
                </w:tcPr>
                <w:p>
                  <w:pPr>
                    <w:shd w:val="clear" w:color="auto" w:fill="C7DAF1" w:themeFill="text2" w:themeFillTint="32"/>
                    <w:rPr>
                      <w:rFonts w:ascii="宋体" w:hAnsi="宋体"/>
                    </w:rPr>
                  </w:pPr>
                </w:p>
              </w:tc>
              <w:tc>
                <w:tcPr>
                  <w:tcW w:w="1705"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700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u w:val="single"/>
              </w:rPr>
              <w:t>电脑、服务器、软件开发工具、打印机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万用表、钢卷尺</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智能档案室大数据分析展示系统</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1814"/>
              <w:gridCol w:w="3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jc w:val="left"/>
                  </w:pPr>
                  <w:r>
                    <w:rPr>
                      <w:rFonts w:hint="eastAsia"/>
                    </w:rPr>
                    <w:t>产品/服务名称</w:t>
                  </w:r>
                </w:p>
              </w:tc>
              <w:tc>
                <w:tcPr>
                  <w:tcW w:w="1814" w:type="dxa"/>
                </w:tcPr>
                <w:p>
                  <w:pPr>
                    <w:shd w:val="clear" w:color="auto" w:fill="C7DAF1" w:themeFill="text2" w:themeFillTint="32"/>
                    <w:jc w:val="left"/>
                  </w:pPr>
                  <w:r>
                    <w:rPr>
                      <w:rFonts w:hint="eastAsia"/>
                    </w:rPr>
                    <w:t>关键过程</w:t>
                  </w:r>
                </w:p>
              </w:tc>
              <w:tc>
                <w:tcPr>
                  <w:tcW w:w="3129"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jc w:val="left"/>
                  </w:pPr>
                  <w:r>
                    <w:rPr>
                      <w:rFonts w:hint="eastAsia"/>
                    </w:rPr>
                    <w:t>智慧图书馆（库）/智慧档案馆（库）系统、智能书架/智能密集架及控制系统、恒温恒湿及环境监测系统的研发和销售</w:t>
                  </w:r>
                </w:p>
              </w:tc>
              <w:tc>
                <w:tcPr>
                  <w:tcW w:w="1814" w:type="dxa"/>
                </w:tcPr>
                <w:p>
                  <w:pPr>
                    <w:shd w:val="clear" w:color="auto" w:fill="C7DAF1" w:themeFill="text2" w:themeFillTint="32"/>
                    <w:jc w:val="left"/>
                    <w:rPr>
                      <w:rFonts w:hint="eastAsia" w:eastAsia="宋体"/>
                      <w:lang w:eastAsia="zh-CN"/>
                    </w:rPr>
                  </w:pPr>
                  <w:r>
                    <w:rPr>
                      <w:rFonts w:hint="eastAsia"/>
                      <w:lang w:eastAsia="zh-CN"/>
                    </w:rPr>
                    <w:t>设计、销售</w:t>
                  </w:r>
                </w:p>
              </w:tc>
              <w:tc>
                <w:tcPr>
                  <w:tcW w:w="3129" w:type="dxa"/>
                </w:tcPr>
                <w:p>
                  <w:pPr>
                    <w:shd w:val="clear" w:color="auto" w:fill="C7DAF1" w:themeFill="text2" w:themeFillTint="32"/>
                    <w:jc w:val="left"/>
                    <w:rPr>
                      <w:rFonts w:hint="eastAsia" w:eastAsia="宋体"/>
                      <w:lang w:eastAsia="zh-CN"/>
                    </w:rPr>
                  </w:pPr>
                  <w:r>
                    <w:rPr>
                      <w:rFonts w:hint="eastAsia"/>
                      <w:lang w:eastAsia="zh-CN"/>
                    </w:rPr>
                    <w:t>漏洞、满意度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jc w:val="left"/>
                  </w:pPr>
                </w:p>
              </w:tc>
              <w:tc>
                <w:tcPr>
                  <w:tcW w:w="1814" w:type="dxa"/>
                </w:tcPr>
                <w:p>
                  <w:pPr>
                    <w:shd w:val="clear" w:color="auto" w:fill="C7DAF1" w:themeFill="text2" w:themeFillTint="32"/>
                    <w:jc w:val="left"/>
                  </w:pPr>
                </w:p>
              </w:tc>
              <w:tc>
                <w:tcPr>
                  <w:tcW w:w="3129"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jc w:val="left"/>
                  </w:pPr>
                </w:p>
              </w:tc>
              <w:tc>
                <w:tcPr>
                  <w:tcW w:w="1814" w:type="dxa"/>
                </w:tcPr>
                <w:p>
                  <w:pPr>
                    <w:shd w:val="clear" w:color="auto" w:fill="C7DAF1" w:themeFill="text2" w:themeFillTint="32"/>
                    <w:jc w:val="left"/>
                  </w:pPr>
                </w:p>
              </w:tc>
              <w:tc>
                <w:tcPr>
                  <w:tcW w:w="3129"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设计、销售</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通过年度策划于2022年7月15-16日实施了质量管理体系内部审核，对质量管理体系的符合性和有效性进行了审核。内审发现的项不符合在本次审核前已完成整改。在公司内完成的这些审核是可信的。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最高管理者已按策划的时间间隔，在2022年7月22日对组织的质量管理体系进行了评审，以确保其持续的适宜性、充分性和有效性；管理评审输入、输出均按要求提供。并对提出的改进措施进行了落实。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 xml:space="preserve">质量至上、持续创新、诚实守信、顾客至上 </w:t>
            </w:r>
          </w:p>
          <w:p>
            <w:pPr>
              <w:shd w:val="clear" w:color="auto" w:fill="EBF1DE" w:themeFill="accent3" w:themeFillTint="32"/>
              <w:rPr>
                <w:u w:val="single"/>
              </w:rPr>
            </w:pPr>
            <w:r>
              <w:rPr>
                <w:rFonts w:hint="eastAsia"/>
                <w:u w:val="single"/>
              </w:rPr>
              <w:t>预防为主，降低风险；遵章守法，创造和谐</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6"/>
              <w:gridCol w:w="278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16" w:type="dxa"/>
                </w:tcPr>
                <w:p>
                  <w:pPr>
                    <w:shd w:val="clear" w:color="auto" w:fill="EBF1DE" w:themeFill="accent3" w:themeFillTint="32"/>
                  </w:pPr>
                  <w:r>
                    <w:rPr>
                      <w:rFonts w:hint="eastAsia"/>
                    </w:rPr>
                    <w:t>主要的风险或机遇描述</w:t>
                  </w:r>
                </w:p>
              </w:tc>
              <w:tc>
                <w:tcPr>
                  <w:tcW w:w="2789"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Pr>
                <w:p>
                  <w:pPr>
                    <w:shd w:val="clear" w:color="auto" w:fill="EBF1DE" w:themeFill="accent3" w:themeFillTint="32"/>
                  </w:pPr>
                  <w:r>
                    <w:rPr>
                      <w:rFonts w:hint="eastAsia"/>
                    </w:rPr>
                    <w:t>潜在火灾，固废排放</w:t>
                  </w:r>
                </w:p>
              </w:tc>
              <w:tc>
                <w:tcPr>
                  <w:tcW w:w="2789" w:type="dxa"/>
                </w:tcPr>
                <w:p>
                  <w:pPr>
                    <w:shd w:val="clear" w:color="auto" w:fill="EBF1DE" w:themeFill="accent3" w:themeFillTint="32"/>
                    <w:rPr>
                      <w:rFonts w:hint="eastAsia" w:eastAsia="宋体"/>
                      <w:lang w:eastAsia="zh-CN"/>
                    </w:rPr>
                  </w:pPr>
                  <w:r>
                    <w:rPr>
                      <w:rFonts w:hint="eastAsia"/>
                      <w:lang w:eastAsia="zh-CN"/>
                    </w:rPr>
                    <w:t>建立管理体系</w:t>
                  </w:r>
                </w:p>
              </w:tc>
              <w:tc>
                <w:tcPr>
                  <w:tcW w:w="1717" w:type="dxa"/>
                </w:tcPr>
                <w:p>
                  <w:pPr>
                    <w:shd w:val="clear" w:color="auto" w:fill="EBF1DE" w:themeFill="accent3"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16" w:type="dxa"/>
                </w:tcPr>
                <w:p>
                  <w:pPr>
                    <w:shd w:val="clear" w:color="auto" w:fill="EBF1DE" w:themeFill="accent3" w:themeFillTint="32"/>
                  </w:pPr>
                </w:p>
              </w:tc>
              <w:tc>
                <w:tcPr>
                  <w:tcW w:w="2789"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2348"/>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348"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shd w:val="clear" w:color="auto" w:fill="auto"/>
                </w:tcPr>
                <w:p>
                  <w:pPr>
                    <w:shd w:val="clear" w:color="auto" w:fill="EBF1DE" w:themeFill="accent3" w:themeFillTint="32"/>
                  </w:pPr>
                  <w:r>
                    <w:rPr>
                      <w:rFonts w:hint="eastAsia"/>
                    </w:rPr>
                    <w:t>固体废弃物分类处理100%</w:t>
                  </w:r>
                </w:p>
              </w:tc>
              <w:tc>
                <w:tcPr>
                  <w:tcW w:w="2348"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运行控制</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shd w:val="clear" w:color="auto" w:fill="auto"/>
                </w:tcPr>
                <w:p>
                  <w:pPr>
                    <w:shd w:val="clear" w:color="auto" w:fill="EBF1DE" w:themeFill="accent3" w:themeFillTint="32"/>
                  </w:pPr>
                  <w:r>
                    <w:rPr>
                      <w:rFonts w:hint="eastAsia"/>
                    </w:rPr>
                    <w:t>潜在火灾发生概率为0</w:t>
                  </w:r>
                </w:p>
              </w:tc>
              <w:tc>
                <w:tcPr>
                  <w:tcW w:w="2348" w:type="dxa"/>
                  <w:shd w:val="clear" w:color="auto" w:fill="auto"/>
                  <w:vAlign w:val="center"/>
                </w:tcPr>
                <w:p>
                  <w:pPr>
                    <w:shd w:val="clear" w:color="auto" w:fill="EBF1DE" w:themeFill="accent3" w:themeFillTint="32"/>
                    <w:rPr>
                      <w:rFonts w:ascii="宋体" w:hAnsi="宋体"/>
                    </w:rPr>
                  </w:pPr>
                  <w:r>
                    <w:rPr>
                      <w:rFonts w:hint="eastAsia"/>
                      <w:lang w:val="en-GB" w:eastAsia="zh-CN"/>
                    </w:rPr>
                    <w:t>运行控制、应急管理</w:t>
                  </w:r>
                </w:p>
              </w:tc>
              <w:tc>
                <w:tcPr>
                  <w:tcW w:w="1350" w:type="dxa"/>
                  <w:shd w:val="clear" w:color="auto" w:fill="auto"/>
                  <w:vAlign w:val="center"/>
                </w:tcPr>
                <w:p>
                  <w:pPr>
                    <w:shd w:val="clear" w:color="auto" w:fill="EBF1DE" w:themeFill="accent3" w:themeFillTint="32"/>
                    <w:rPr>
                      <w:rFonts w:ascii="宋体" w:hAnsi="宋体"/>
                    </w:rPr>
                  </w:pPr>
                  <w:r>
                    <w:rPr>
                      <w:rFonts w:hint="eastAsia"/>
                      <w:lang w:val="en-GB" w:eastAsia="zh-CN"/>
                    </w:rPr>
                    <w:t>行政部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shd w:val="clear" w:color="auto" w:fill="auto"/>
                </w:tcPr>
                <w:p>
                  <w:pPr>
                    <w:shd w:val="clear" w:color="auto" w:fill="EBF1DE" w:themeFill="accent3" w:themeFillTint="32"/>
                  </w:pPr>
                </w:p>
              </w:tc>
              <w:tc>
                <w:tcPr>
                  <w:tcW w:w="2348"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4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700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u w:val="single"/>
              </w:rPr>
              <w:t>电脑、服务器、软件开发工具、打印机</w:t>
            </w:r>
          </w:p>
          <w:p>
            <w:pPr>
              <w:shd w:val="clear" w:color="auto" w:fill="EBF1DE" w:themeFill="accent3" w:themeFillTint="32"/>
              <w:rPr>
                <w:u w:val="single"/>
              </w:rPr>
            </w:pPr>
            <w:r>
              <w:rPr>
                <w:rFonts w:hint="eastAsia"/>
              </w:rPr>
              <w:t>主要环保设备有：</w:t>
            </w:r>
            <w:r>
              <w:rPr>
                <w:rFonts w:hint="eastAsia"/>
                <w:u w:val="single"/>
              </w:rPr>
              <w:t>灭火器、垃圾桶</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万用表、钢卷尺</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智能档案室大数据分析展示系统</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eastAsia="zh-CN"/>
                    </w:rPr>
                  </w:pPr>
                  <w:r>
                    <w:rPr>
                      <w:rFonts w:hint="eastAsia"/>
                      <w:lang w:eastAsia="zh-CN"/>
                    </w:rPr>
                    <w:t>运行控制</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eastAsia="zh-CN"/>
                    </w:rPr>
                    <w:t>运行控制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于2022年5月15日进行了的演练；并总结了预案的可行性和有效性。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定期（每年）：2022年7月10日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通过年度策划于2022年7月15-16日实施了环境管理体系内部审核，对环境管理体系的符合性和有效性进行了审核。内审发现的项不符合在本次审核前已完成整改。在公司内完成的这些审核是可信的。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最高管理者已按策划的时间间隔，在2022年7月22日对组织的环境管理体系进行了评审，以确保其持续的适宜性、充分性和有效性；管理评审输入、输出均按要求提供。并对提出的改进措施进行了落实。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169"/>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u w:val="single"/>
              </w:rPr>
            </w:pPr>
            <w:r>
              <w:rPr>
                <w:rFonts w:hint="eastAsia"/>
                <w:u w:val="single"/>
              </w:rPr>
              <w:t xml:space="preserve">质量至上、持续创新、诚实守信、顾客至上 </w:t>
            </w:r>
          </w:p>
          <w:p>
            <w:pPr>
              <w:rPr>
                <w:u w:val="single"/>
              </w:rPr>
            </w:pPr>
            <w:r>
              <w:rPr>
                <w:rFonts w:hint="eastAsia"/>
                <w:u w:val="single"/>
              </w:rPr>
              <w:t>预防为主，降低风险；遵章守法，创造和谐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吕瑞琪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触电、潜在火灾</w:t>
                  </w:r>
                </w:p>
              </w:tc>
              <w:tc>
                <w:tcPr>
                  <w:tcW w:w="3965" w:type="dxa"/>
                </w:tcPr>
                <w:p>
                  <w:pPr>
                    <w:rPr>
                      <w:rFonts w:hint="eastAsia" w:eastAsia="宋体"/>
                      <w:lang w:eastAsia="zh-CN"/>
                    </w:rPr>
                  </w:pPr>
                  <w:r>
                    <w:rPr>
                      <w:rFonts w:hint="eastAsia"/>
                      <w:lang w:eastAsia="zh-CN"/>
                    </w:rPr>
                    <w:t>建立管理体系</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7"/>
              <w:gridCol w:w="217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7" w:type="dxa"/>
                  <w:shd w:val="clear" w:color="auto" w:fill="auto"/>
                </w:tcPr>
                <w:p>
                  <w:pPr>
                    <w:rPr>
                      <w:rFonts w:ascii="宋体" w:hAnsi="宋体"/>
                    </w:rPr>
                  </w:pPr>
                  <w:r>
                    <w:rPr>
                      <w:rFonts w:hint="eastAsia"/>
                    </w:rPr>
                    <w:t>职业健康安全</w:t>
                  </w:r>
                  <w:r>
                    <w:rPr>
                      <w:rFonts w:hint="eastAsia" w:ascii="宋体" w:hAnsi="宋体"/>
                    </w:rPr>
                    <w:t>目标</w:t>
                  </w:r>
                </w:p>
              </w:tc>
              <w:tc>
                <w:tcPr>
                  <w:tcW w:w="2170"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7" w:type="dxa"/>
                  <w:shd w:val="clear" w:color="auto" w:fill="auto"/>
                </w:tcPr>
                <w:p>
                  <w:r>
                    <w:rPr>
                      <w:rFonts w:hint="eastAsia"/>
                    </w:rPr>
                    <w:t>潜在火灾发生概率为0</w:t>
                  </w:r>
                </w:p>
              </w:tc>
              <w:tc>
                <w:tcPr>
                  <w:tcW w:w="2170" w:type="dxa"/>
                  <w:shd w:val="clear" w:color="auto" w:fill="auto"/>
                  <w:vAlign w:val="center"/>
                </w:tcPr>
                <w:p>
                  <w:pPr>
                    <w:rPr>
                      <w:rFonts w:hint="eastAsia" w:eastAsia="宋体"/>
                      <w:lang w:val="en-GB" w:eastAsia="zh-CN"/>
                    </w:rPr>
                  </w:pPr>
                  <w:r>
                    <w:rPr>
                      <w:rFonts w:hint="eastAsia"/>
                      <w:lang w:val="en-GB" w:eastAsia="zh-CN"/>
                    </w:rPr>
                    <w:t>运行控制、应急管理</w:t>
                  </w:r>
                </w:p>
              </w:tc>
              <w:tc>
                <w:tcPr>
                  <w:tcW w:w="1350" w:type="dxa"/>
                  <w:shd w:val="clear" w:color="auto" w:fill="auto"/>
                  <w:vAlign w:val="center"/>
                </w:tcPr>
                <w:p>
                  <w:pPr>
                    <w:rPr>
                      <w:rFonts w:hint="eastAsia" w:eastAsia="宋体"/>
                      <w:lang w:val="en-GB" w:eastAsia="zh-CN"/>
                    </w:rPr>
                  </w:pPr>
                  <w:r>
                    <w:rPr>
                      <w:rFonts w:hint="eastAsia"/>
                      <w:lang w:val="en-GB" w:eastAsia="zh-CN"/>
                    </w:rPr>
                    <w:t>行政部</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7" w:type="dxa"/>
                  <w:shd w:val="clear" w:color="auto" w:fill="auto"/>
                </w:tcPr>
                <w:p/>
              </w:tc>
              <w:tc>
                <w:tcPr>
                  <w:tcW w:w="2170"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700</w:t>
            </w:r>
            <w:r>
              <w:rPr>
                <w:rFonts w:hint="eastAsia"/>
              </w:rPr>
              <w:t>平方米；生产车间个；库房个；实验室个；</w:t>
            </w:r>
          </w:p>
          <w:p>
            <w:pPr>
              <w:rPr>
                <w:u w:val="single"/>
              </w:rPr>
            </w:pPr>
            <w:r>
              <w:rPr>
                <w:rFonts w:hint="eastAsia"/>
              </w:rPr>
              <w:t>主要生产设备有：</w:t>
            </w:r>
            <w:r>
              <w:rPr>
                <w:rFonts w:hint="eastAsia"/>
                <w:u w:val="single"/>
              </w:rPr>
              <w:t>电脑、服务器、软件开发工具、打印机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职业健康安全监测的计量器具有：万用表、钢卷尺</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sym w:font="Wingdings 2" w:char="0052"/>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智能档案室大数据分析展示系统</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运行控制、应急管理</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rPr>
                      <w:rFonts w:hint="eastAsia" w:eastAsia="宋体"/>
                      <w:lang w:val="en-US" w:eastAsia="zh-CN"/>
                    </w:rPr>
                  </w:pPr>
                  <w:r>
                    <w:rPr>
                      <w:rFonts w:hint="eastAsia"/>
                      <w:lang w:val="en-US" w:eastAsia="zh-CN"/>
                    </w:rPr>
                    <w:t>/</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于2022年5月15日进行了的演练；并总结了预案的可行性和有效性。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定期（每年）：2022年7月10日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7月15-16日实施了职业健康安全管理体系内部审核，对职业健康安全管理体系的符合性和有效性进行了审核。内审发现的项不符合在本次审核前已完成整改。在公司内完成的这些审核是可信的。</w:t>
            </w:r>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最高管理者已按策划的时间间隔，在2022年7月22日对组织的职业健康安全管理体系进行了评审，以确保其持续的适宜性、充分性和有效性；管理评审输入、输出均按要求提供。并对提出的改进措施进行了落实。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282"/>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3 =失效/不符合(参见不符合报告)</w:t>
      </w:r>
      <w:bookmarkStart w:id="34" w:name="_GoBack"/>
      <w:bookmarkEnd w:id="34"/>
      <w:r>
        <w:t xml:space="preserve">  </w:t>
      </w:r>
    </w:p>
    <w:p>
      <w:pPr>
        <w:spacing w:before="40" w:after="40"/>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E5NTRmZWE1ODkyMzI3NzUzMjUzZWZjMTFlMDk4OTYifQ=="/>
  </w:docVars>
  <w:rsids>
    <w:rsidRoot w:val="00000000"/>
    <w:rsid w:val="1BEA12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jc w:val="center"/>
      <w:outlineLvl w:val="1"/>
    </w:pPr>
    <w:rPr>
      <w:rFonts w:ascii="宋体" w:hAnsi="宋体"/>
      <w:b/>
      <w:sz w:val="5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18796</Words>
  <Characters>19535</Characters>
  <Lines>150</Lines>
  <Paragraphs>42</Paragraphs>
  <TotalTime>1</TotalTime>
  <ScaleCrop>false</ScaleCrop>
  <LinksUpToDate>false</LinksUpToDate>
  <CharactersWithSpaces>19656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2022-09-16T03:32:41Z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