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Cs/>
          <w:sz w:val="32"/>
          <w:szCs w:val="32"/>
          <w:lang w:eastAsia="zh-CN"/>
        </w:rPr>
      </w:pPr>
      <w:bookmarkStart w:id="32" w:name="_GoBack"/>
      <w:r>
        <w:rPr>
          <w:rFonts w:hint="eastAsia" w:asciiTheme="majorEastAsia" w:hAnsiTheme="majorEastAsia" w:eastAsiaTheme="majorEastAsia" w:cstheme="majorEastAsia"/>
          <w:bCs/>
          <w:sz w:val="32"/>
          <w:szCs w:val="32"/>
          <w:lang w:eastAsia="zh-CN"/>
        </w:rPr>
        <w:drawing>
          <wp:anchor distT="0" distB="0" distL="114300" distR="114300" simplePos="0" relativeHeight="251659264" behindDoc="0" locked="0" layoutInCell="1" allowOverlap="1">
            <wp:simplePos x="0" y="0"/>
            <wp:positionH relativeFrom="column">
              <wp:posOffset>-692785</wp:posOffset>
            </wp:positionH>
            <wp:positionV relativeFrom="paragraph">
              <wp:posOffset>-992505</wp:posOffset>
            </wp:positionV>
            <wp:extent cx="7798435" cy="10725785"/>
            <wp:effectExtent l="0" t="0" r="12065" b="18415"/>
            <wp:wrapNone/>
            <wp:docPr id="1" name="图片 1"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4"/>
                    <pic:cNvPicPr>
                      <a:picLocks noChangeAspect="1"/>
                    </pic:cNvPicPr>
                  </pic:nvPicPr>
                  <pic:blipFill>
                    <a:blip r:embed="rId6"/>
                    <a:stretch>
                      <a:fillRect/>
                    </a:stretch>
                  </pic:blipFill>
                  <pic:spPr>
                    <a:xfrm>
                      <a:off x="0" y="0"/>
                      <a:ext cx="7798435" cy="10725785"/>
                    </a:xfrm>
                    <a:prstGeom prst="rect">
                      <a:avLst/>
                    </a:prstGeom>
                  </pic:spPr>
                </pic:pic>
              </a:graphicData>
            </a:graphic>
          </wp:anchor>
        </w:drawing>
      </w:r>
      <w:bookmarkEnd w:id="32"/>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江西讯森智能科技有限公司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江西省宜春市樟树市四特大道盛世壹品小区一栋一单元201号商铺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江西省宜春市樟树市四特大道盛世壹品小区一栋一单元201号商铺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1033-2022-QEO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黄云刚</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13657951888</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406672391@qq.com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rFonts w:hint="eastAsia"/>
                <w:sz w:val="21"/>
                <w:szCs w:val="21"/>
              </w:rPr>
            </w:pPr>
            <w:r>
              <w:rPr>
                <w:rFonts w:hint="eastAsia"/>
                <w:sz w:val="21"/>
                <w:szCs w:val="21"/>
              </w:rPr>
              <w:t>最高管理者或管理者代表</w:t>
            </w:r>
          </w:p>
        </w:tc>
        <w:tc>
          <w:tcPr>
            <w:tcW w:w="3837" w:type="dxa"/>
            <w:gridSpan w:val="4"/>
            <w:vAlign w:val="center"/>
          </w:tcPr>
          <w:p>
            <w:pPr>
              <w:rPr>
                <w:rFonts w:hint="eastAsia"/>
                <w:sz w:val="21"/>
                <w:szCs w:val="21"/>
              </w:rPr>
            </w:pPr>
            <w:bookmarkStart w:id="14" w:name="管理者代表"/>
            <w:r>
              <w:rPr>
                <w:rFonts w:hint="eastAsia"/>
                <w:sz w:val="21"/>
                <w:szCs w:val="21"/>
              </w:rPr>
              <w:t>黄云刚</w:t>
            </w:r>
            <w:bookmarkEnd w:id="14"/>
          </w:p>
        </w:tc>
        <w:tc>
          <w:tcPr>
            <w:tcW w:w="1071" w:type="dxa"/>
            <w:gridSpan w:val="4"/>
            <w:vAlign w:val="center"/>
          </w:tcPr>
          <w:p>
            <w:pPr>
              <w:rPr>
                <w:rFonts w:hint="eastAsia"/>
                <w:sz w:val="21"/>
                <w:szCs w:val="21"/>
              </w:rPr>
            </w:pPr>
            <w:r>
              <w:rPr>
                <w:rFonts w:hint="eastAsia"/>
                <w:sz w:val="21"/>
                <w:szCs w:val="21"/>
              </w:rPr>
              <w:t>联系电话</w:t>
            </w:r>
          </w:p>
        </w:tc>
        <w:tc>
          <w:tcPr>
            <w:tcW w:w="1791" w:type="dxa"/>
            <w:gridSpan w:val="4"/>
            <w:vAlign w:val="center"/>
          </w:tcPr>
          <w:p>
            <w:pPr>
              <w:rPr>
                <w:rFonts w:hint="eastAsia"/>
                <w:sz w:val="21"/>
                <w:szCs w:val="21"/>
              </w:rPr>
            </w:pPr>
            <w:bookmarkStart w:id="15" w:name="管代电话"/>
            <w:r>
              <w:rPr>
                <w:rFonts w:hint="eastAsia"/>
                <w:sz w:val="21"/>
                <w:szCs w:val="21"/>
              </w:rPr>
              <w:t>13657951888</w:t>
            </w:r>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pPr>
              <w:rPr>
                <w:sz w:val="21"/>
                <w:szCs w:val="21"/>
              </w:rPr>
            </w:pPr>
            <w:bookmarkStart w:id="20" w:name="审核范围"/>
            <w:r>
              <w:rPr>
                <w:sz w:val="21"/>
                <w:szCs w:val="21"/>
              </w:rPr>
              <w:t>Q：智慧图书馆（库）/智慧档案馆（库）系统、智能书架/智能密集架及控制系统、恒温恒湿及环境监测系统的研发和销售</w:t>
            </w:r>
          </w:p>
          <w:p>
            <w:pPr>
              <w:rPr>
                <w:sz w:val="21"/>
                <w:szCs w:val="21"/>
              </w:rPr>
            </w:pPr>
            <w:r>
              <w:rPr>
                <w:sz w:val="21"/>
                <w:szCs w:val="21"/>
              </w:rPr>
              <w:t>E：智慧图书馆（库）/智慧档案馆（库）系统、智能书架/智能密集架及控制系统、恒温恒湿及环境监测系统的研发和销售所涉及场所的相关环境管理活动</w:t>
            </w:r>
          </w:p>
          <w:p>
            <w:r>
              <w:rPr>
                <w:sz w:val="21"/>
                <w:szCs w:val="21"/>
              </w:rPr>
              <w:t>O：智慧图书馆（库）/智慧档案馆（库）系统、智能书架/智能密集架及控制系统、恒温恒湿及环境监测系统的研发和销售所涉及场所的相关职业健康安全管理活动</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Q：33.02.01</w:t>
            </w:r>
          </w:p>
          <w:p>
            <w:r>
              <w:t>E：33.02.01</w:t>
            </w:r>
          </w:p>
          <w:p>
            <w:r>
              <w:t>O：33.02.01</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hint="eastAsia"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p>
          <w:p>
            <w:pPr>
              <w:rPr>
                <w:rFonts w:ascii="宋体" w:hAnsi="宋体"/>
                <w:b/>
                <w:sz w:val="21"/>
                <w:szCs w:val="21"/>
              </w:rPr>
            </w:pPr>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2022年09月13日 上午至2022年09月14日 上午</w:t>
            </w:r>
            <w:bookmarkEnd w:id="29"/>
            <w:r>
              <w:rPr>
                <w:rFonts w:hint="eastAsia"/>
                <w:b/>
                <w:sz w:val="21"/>
                <w:szCs w:val="21"/>
              </w:rPr>
              <w:t>，共</w:t>
            </w:r>
            <w:bookmarkStart w:id="30" w:name="审核天数"/>
            <w:r>
              <w:rPr>
                <w:rFonts w:hint="eastAsia"/>
                <w:b/>
                <w:sz w:val="21"/>
                <w:szCs w:val="21"/>
              </w:rPr>
              <w:t>1.5</w:t>
            </w:r>
            <w:bookmarkEnd w:id="30"/>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褚敏杰</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2021-N1QMS-3068076</w:t>
            </w:r>
          </w:p>
          <w:p>
            <w:pPr>
              <w:jc w:val="center"/>
              <w:rPr>
                <w:sz w:val="21"/>
                <w:szCs w:val="21"/>
              </w:rPr>
            </w:pPr>
            <w:r>
              <w:rPr>
                <w:sz w:val="21"/>
                <w:szCs w:val="21"/>
              </w:rPr>
              <w:t>2021-N1EMS-3068076</w:t>
            </w:r>
          </w:p>
          <w:p>
            <w:pPr>
              <w:jc w:val="center"/>
              <w:rPr>
                <w:sz w:val="21"/>
                <w:szCs w:val="21"/>
              </w:rPr>
            </w:pPr>
            <w:r>
              <w:rPr>
                <w:sz w:val="21"/>
                <w:szCs w:val="21"/>
              </w:rPr>
              <w:t>2022-N1OHSMS-3068076</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Q:33.02.01</w:t>
            </w:r>
          </w:p>
          <w:p>
            <w:pPr>
              <w:jc w:val="center"/>
              <w:rPr>
                <w:sz w:val="21"/>
                <w:szCs w:val="21"/>
              </w:rPr>
            </w:pPr>
            <w:r>
              <w:rPr>
                <w:sz w:val="21"/>
                <w:szCs w:val="21"/>
              </w:rPr>
              <w:t>E:33.02.01</w:t>
            </w:r>
          </w:p>
          <w:p>
            <w:pPr>
              <w:jc w:val="center"/>
              <w:rPr>
                <w:sz w:val="21"/>
                <w:szCs w:val="21"/>
              </w:rPr>
            </w:pPr>
            <w:r>
              <w:rPr>
                <w:sz w:val="21"/>
                <w:szCs w:val="21"/>
              </w:rPr>
              <w:t>O:33.02.01</w:t>
            </w:r>
          </w:p>
        </w:tc>
        <w:tc>
          <w:tcPr>
            <w:tcW w:w="1393" w:type="dxa"/>
            <w:gridSpan w:val="3"/>
            <w:vAlign w:val="center"/>
          </w:tcPr>
          <w:p>
            <w:pPr>
              <w:jc w:val="center"/>
              <w:rPr>
                <w:sz w:val="21"/>
                <w:szCs w:val="21"/>
              </w:rPr>
            </w:pPr>
            <w:r>
              <w:rPr>
                <w:sz w:val="21"/>
                <w:szCs w:val="21"/>
              </w:rPr>
              <w:t>15170020221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31" w:name="总组长Add1"/>
            <w:r>
              <w:rPr>
                <w:sz w:val="21"/>
                <w:szCs w:val="21"/>
              </w:rPr>
              <w:t>褚敏杰</w:t>
            </w:r>
            <w:bookmarkEnd w:id="31"/>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15170020221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2022.9.10</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2022.9.13</w:t>
            </w:r>
          </w:p>
        </w:tc>
      </w:tr>
    </w:tbl>
    <w:p>
      <w:pPr>
        <w:widowControl/>
        <w:jc w:val="left"/>
      </w:pPr>
    </w:p>
    <w:p>
      <w:pPr>
        <w:rPr>
          <w:rFonts w:asciiTheme="minorEastAsia" w:hAnsiTheme="minorEastAsia" w:eastAsiaTheme="minorEastAsia"/>
          <w:sz w:val="32"/>
          <w:szCs w:val="32"/>
        </w:rPr>
      </w:pPr>
      <w:r>
        <w:rPr>
          <w:rFonts w:asciiTheme="minorEastAsia" w:hAnsiTheme="minorEastAsia" w:eastAsiaTheme="minorEastAsia"/>
          <w:sz w:val="32"/>
          <w:szCs w:val="32"/>
        </w:rPr>
        <w:br w:type="page"/>
      </w:r>
    </w:p>
    <w:p>
      <w:pPr>
        <w:keepNext w:val="0"/>
        <w:keepLines w:val="0"/>
        <w:pageBreakBefore w:val="0"/>
        <w:widowControl w:val="0"/>
        <w:kinsoku/>
        <w:wordWrap/>
        <w:overflowPunct/>
        <w:topLinePunct w:val="0"/>
        <w:autoSpaceDE/>
        <w:autoSpaceDN/>
        <w:bidi w:val="0"/>
        <w:adjustRightInd/>
        <w:snapToGrid w:val="0"/>
        <w:spacing w:before="163" w:beforeLines="50" w:after="164" w:afterLines="50" w:line="320" w:lineRule="exact"/>
        <w:ind w:firstLine="4000" w:firstLineChars="1250"/>
        <w:textAlignment w:val="auto"/>
        <w:rPr>
          <w:rFonts w:hint="eastAsia" w:asciiTheme="minorEastAsia" w:hAnsiTheme="minorEastAsia" w:eastAsiaTheme="minorEastAsia"/>
          <w:sz w:val="32"/>
          <w:szCs w:val="32"/>
        </w:rPr>
      </w:pPr>
    </w:p>
    <w:p>
      <w:pPr>
        <w:keepNext w:val="0"/>
        <w:keepLines w:val="0"/>
        <w:pageBreakBefore w:val="0"/>
        <w:widowControl w:val="0"/>
        <w:kinsoku/>
        <w:wordWrap/>
        <w:overflowPunct/>
        <w:topLinePunct w:val="0"/>
        <w:autoSpaceDE/>
        <w:autoSpaceDN/>
        <w:bidi w:val="0"/>
        <w:adjustRightInd/>
        <w:snapToGrid w:val="0"/>
        <w:spacing w:before="163" w:beforeLines="50" w:after="164" w:afterLines="50" w:line="320" w:lineRule="exact"/>
        <w:jc w:val="center"/>
        <w:textAlignment w:val="auto"/>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1" w:type="dxa"/>
            <w:vMerge w:val="restart"/>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9.13</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0830-0900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restart"/>
            <w:vAlign w:val="center"/>
          </w:tcPr>
          <w:p>
            <w:pPr>
              <w:snapToGrid w:val="0"/>
              <w:spacing w:line="280" w:lineRule="exact"/>
              <w:jc w:val="left"/>
              <w:rPr>
                <w:rFonts w:hint="eastAsia"/>
                <w:b/>
                <w:sz w:val="20"/>
                <w:lang w:val="en-US" w:eastAsia="zh-CN"/>
              </w:rPr>
            </w:pPr>
            <w:r>
              <w:rPr>
                <w:rFonts w:hint="eastAsia"/>
                <w:b/>
                <w:sz w:val="20"/>
                <w:lang w:val="en-US" w:eastAsia="zh-CN"/>
              </w:rPr>
              <w:t>0900-1700</w:t>
            </w:r>
          </w:p>
          <w:p>
            <w:pPr>
              <w:snapToGrid w:val="0"/>
              <w:spacing w:line="280" w:lineRule="exact"/>
              <w:jc w:val="left"/>
              <w:rPr>
                <w:rFonts w:hint="eastAsia"/>
                <w:b/>
                <w:sz w:val="20"/>
                <w:lang w:val="en-US" w:eastAsia="zh-CN"/>
              </w:rPr>
            </w:pPr>
            <w:r>
              <w:rPr>
                <w:rFonts w:hint="eastAsia"/>
                <w:b/>
                <w:sz w:val="20"/>
                <w:lang w:val="en-US" w:eastAsia="zh-CN"/>
              </w:rPr>
              <w:t>1200-1230</w:t>
            </w:r>
          </w:p>
          <w:p>
            <w:pPr>
              <w:snapToGrid w:val="0"/>
              <w:spacing w:line="280" w:lineRule="exact"/>
              <w:jc w:val="left"/>
              <w:rPr>
                <w:rFonts w:hint="default"/>
                <w:b/>
                <w:sz w:val="20"/>
                <w:lang w:val="en-US" w:eastAsia="zh-CN"/>
              </w:rPr>
            </w:pPr>
            <w:r>
              <w:rPr>
                <w:rFonts w:hint="eastAsia"/>
                <w:b/>
                <w:sz w:val="20"/>
                <w:lang w:val="en-US" w:eastAsia="zh-CN"/>
              </w:rPr>
              <w:t>午餐</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vMerge w:val="restart"/>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1" w:type="dxa"/>
            <w:vMerge w:val="restart"/>
            <w:tcBorders>
              <w:left w:val="single" w:color="auto" w:sz="8" w:space="0"/>
            </w:tcBorders>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9.14</w:t>
            </w:r>
          </w:p>
        </w:tc>
        <w:tc>
          <w:tcPr>
            <w:tcW w:w="1389" w:type="dxa"/>
            <w:vMerge w:val="restart"/>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0830-1200</w:t>
            </w: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vMerge w:val="restart"/>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vMerge w:val="continue"/>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vMerge w:val="continue"/>
            <w:tcBorders>
              <w:right w:val="single" w:color="auto" w:sz="8" w:space="0"/>
            </w:tcBorders>
            <w:shd w:val="clear" w:color="auto" w:fill="EAF1DD" w:themeFill="accent3"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vMerge w:val="continue"/>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vMerge w:val="continue"/>
            <w:tcBorders>
              <w:right w:val="single" w:color="auto" w:sz="8" w:space="0"/>
            </w:tcBorders>
            <w:shd w:val="clear" w:color="auto" w:fill="DAEEF3" w:themeFill="accent5"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vMerge w:val="continue"/>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vMerge w:val="continue"/>
            <w:tcBorders>
              <w:right w:val="single" w:color="auto" w:sz="8" w:space="0"/>
            </w:tcBorders>
            <w:shd w:val="clear" w:color="auto" w:fill="DAEEF3" w:themeFill="accent5"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vMerge w:val="continue"/>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vMerge w:val="continue"/>
            <w:tcBorders>
              <w:right w:val="single" w:color="auto" w:sz="8" w:space="0"/>
            </w:tcBorders>
            <w:shd w:val="clear" w:color="auto" w:fill="E5DFEC" w:themeFill="accent4"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vMerge w:val="continue"/>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vMerge w:val="continue"/>
            <w:tcBorders>
              <w:right w:val="single" w:color="auto" w:sz="8" w:space="0"/>
            </w:tcBorders>
            <w:shd w:val="clear" w:color="auto" w:fill="E5DFEC" w:themeFill="accent4"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1" w:type="dxa"/>
            <w:vMerge w:val="continue"/>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1200-1230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5NTRmZWE1ODkyMzI3NzUzMjUzZWZjMTFlMDk4OTYifQ=="/>
  </w:docVars>
  <w:rsids>
    <w:rsidRoot w:val="00000000"/>
    <w:rsid w:val="5408505F"/>
    <w:rsid w:val="5AE874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2461</Words>
  <Characters>2922</Characters>
  <Lines>26</Lines>
  <Paragraphs>7</Paragraphs>
  <TotalTime>14</TotalTime>
  <ScaleCrop>false</ScaleCrop>
  <LinksUpToDate>false</LinksUpToDate>
  <CharactersWithSpaces>2985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lenovo1018</cp:lastModifiedBy>
  <cp:lastPrinted>2019-03-27T03:10:00Z</cp:lastPrinted>
  <dcterms:modified xsi:type="dcterms:W3CDTF">2022-09-17T07:23:25Z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2052-11.1.0.12358</vt:lpwstr>
  </property>
</Properties>
</file>