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bookmarkStart w:id="12" w:name="_GoBack"/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886"/>
        <w:gridCol w:w="11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张家港保税区长江国际港务有限公司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液氮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储罐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压力表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显示压力超过限值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zh-CN"/>
              </w:rPr>
              <w:t>提供的能源计量器具汇总表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未统计水的计量。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收集的能源数据表未包括氮气和水的使用量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highlight w:val="none"/>
                <w:lang w:val="en-US" w:eastAsia="zh-CN" w:bidi="zh-CN"/>
              </w:rPr>
              <w:t>2021年生技部单位吞吐量综合能耗目标没有实现，组织未提供进行原因分析并采取改进措施的证据</w:t>
            </w:r>
            <w:r>
              <w:rPr>
                <w:rFonts w:hint="eastAsia"/>
                <w:color w:val="FF0000"/>
                <w:lang w:eastAsia="zh-CN"/>
              </w:rPr>
              <w:t>。</w:t>
            </w: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78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4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D8C9FE"/>
    <w:multiLevelType w:val="singleLevel"/>
    <w:tmpl w:val="C7D8C9FE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00000015"/>
    <w:multiLevelType w:val="multilevel"/>
    <w:tmpl w:val="00000015"/>
    <w:lvl w:ilvl="0" w:tentative="0">
      <w:start w:val="1"/>
      <w:numFmt w:val="lowerLetter"/>
      <w:pStyle w:val="1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52596B"/>
    <w:rsid w:val="2E9C5397"/>
    <w:rsid w:val="34F1110F"/>
    <w:rsid w:val="3FC60EEE"/>
    <w:rsid w:val="45B26D47"/>
    <w:rsid w:val="572359D6"/>
    <w:rsid w:val="5B095B7D"/>
    <w:rsid w:val="77453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eastAsia="华文细黑"/>
      <w:sz w:val="24"/>
    </w:rPr>
  </w:style>
  <w:style w:type="paragraph" w:styleId="4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4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100</Words>
  <Characters>122</Characters>
  <Lines>1</Lines>
  <Paragraphs>1</Paragraphs>
  <TotalTime>0</TotalTime>
  <ScaleCrop>false</ScaleCrop>
  <LinksUpToDate>false</LinksUpToDate>
  <CharactersWithSpaces>129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2022-09-12T06:41:38Z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