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0485-2020-E-2022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任丘市斯迈尔电力器材有限公司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任丘市斯迈尔电力器材有限公司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任丘市梁召镇南芦村</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河北省沧州市任丘市粱召镇北芦张村村西</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高永超</w:t>
            </w:r>
            <w:bookmarkEnd w:id="10"/>
          </w:p>
        </w:tc>
        <w:tc>
          <w:tcPr>
            <w:tcW w:w="1313" w:type="dxa"/>
            <w:vAlign w:val="center"/>
          </w:tcPr>
          <w:p>
            <w:r>
              <w:rPr>
                <w:rFonts w:hint="eastAsia"/>
              </w:rPr>
              <w:t>电话.</w:t>
            </w:r>
          </w:p>
        </w:tc>
        <w:tc>
          <w:tcPr>
            <w:tcW w:w="2180" w:type="dxa"/>
            <w:vAlign w:val="center"/>
          </w:tcPr>
          <w:p>
            <w:bookmarkStart w:id="11" w:name="联系人电话"/>
            <w:r>
              <w:t>13463711565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高永超</w:t>
            </w:r>
            <w:bookmarkEnd w:id="13"/>
          </w:p>
        </w:tc>
        <w:tc>
          <w:tcPr>
            <w:tcW w:w="1313" w:type="dxa"/>
            <w:vAlign w:val="center"/>
          </w:tcPr>
          <w:p>
            <w:r>
              <w:rPr>
                <w:rFonts w:hint="eastAsia"/>
              </w:rPr>
              <w:t>管理者代表</w:t>
            </w:r>
          </w:p>
        </w:tc>
        <w:tc>
          <w:tcPr>
            <w:tcW w:w="2180" w:type="dxa"/>
          </w:tcPr>
          <w:p>
            <w:bookmarkStart w:id="14" w:name="管理者代表"/>
            <w:r>
              <w:t>高永旺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接到订单-评审-签合同-采购-进货(检验)-销售（包括运输送货）-客户签收-满意度调查</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2022年09月08日 上午至2022年09月08日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河北省沧州市任丘市粱召镇北芦张村村西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高低压成套开关设备和电缆桥架的销售及其所涉及场所的相关环境管理活动.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2021年10月6日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86"/>
        <w:gridCol w:w="118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86" w:type="dxa"/>
            <w:shd w:val="clear" w:color="auto" w:fill="F3F3F3"/>
            <w:tcMar>
              <w:left w:w="57" w:type="dxa"/>
              <w:right w:w="57" w:type="dxa"/>
            </w:tcMar>
          </w:tcPr>
          <w:p>
            <w:r>
              <w:rPr>
                <w:rFonts w:hint="eastAsia"/>
              </w:rPr>
              <w:t>审核范围（产品和过程）</w:t>
            </w:r>
          </w:p>
          <w:p/>
          <w:p/>
        </w:tc>
        <w:tc>
          <w:tcPr>
            <w:tcW w:w="118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任丘市斯迈尔电力器材有限公司</w:t>
            </w:r>
          </w:p>
          <w:p>
            <w:pPr>
              <w:rPr>
                <w:rFonts w:hint="eastAsia"/>
                <w:lang w:val="de-DE" w:eastAsia="ja-JP"/>
              </w:rPr>
            </w:pPr>
            <w:r>
              <w:rPr>
                <w:rFonts w:hint="eastAsia"/>
                <w:lang w:val="de-DE" w:eastAsia="ja-JP"/>
              </w:rPr>
              <w:t>任丘市梁召镇南芦村</w:t>
            </w:r>
          </w:p>
          <w:p>
            <w:pPr>
              <w:pStyle w:val="12"/>
              <w:rPr>
                <w:lang w:val="de-DE" w:eastAsia="ja-JP"/>
              </w:rPr>
            </w:pPr>
          </w:p>
        </w:tc>
        <w:tc>
          <w:tcPr>
            <w:tcW w:w="2267" w:type="dxa"/>
          </w:tcPr>
          <w:p>
            <w:pPr>
              <w:rPr>
                <w:lang w:val="de-DE" w:eastAsia="ja-JP"/>
              </w:rPr>
            </w:pPr>
            <w:r>
              <w:rPr>
                <w:rFonts w:hint="eastAsia"/>
                <w:lang w:val="de-DE" w:eastAsia="ja-JP"/>
              </w:rPr>
              <w:t>河北省沧州市任丘市粱召镇北芦张村村西</w:t>
            </w:r>
          </w:p>
        </w:tc>
        <w:tc>
          <w:tcPr>
            <w:tcW w:w="571" w:type="dxa"/>
            <w:vAlign w:val="center"/>
          </w:tcPr>
          <w:p>
            <w:pPr>
              <w:rPr>
                <w:rFonts w:hint="default" w:eastAsia="宋体"/>
                <w:lang w:val="en-US" w:eastAsia="zh-CN"/>
              </w:rPr>
            </w:pPr>
            <w:r>
              <w:rPr>
                <w:rFonts w:hint="eastAsia"/>
                <w:lang w:val="en-US" w:eastAsia="zh-CN"/>
              </w:rPr>
              <w:t>15</w:t>
            </w:r>
          </w:p>
        </w:tc>
        <w:tc>
          <w:tcPr>
            <w:tcW w:w="2286" w:type="dxa"/>
            <w:vAlign w:val="center"/>
          </w:tcPr>
          <w:p>
            <w:pPr>
              <w:rPr>
                <w:lang w:eastAsia="ja-JP"/>
              </w:rPr>
            </w:pPr>
            <w:r>
              <w:rPr>
                <w:rFonts w:ascii="Helvetica" w:hAnsi="Helvetica" w:eastAsia="Helvetica" w:cs="Helvetica"/>
                <w:i w:val="0"/>
                <w:iCs w:val="0"/>
                <w:caps w:val="0"/>
                <w:color w:val="000000"/>
                <w:spacing w:val="0"/>
                <w:sz w:val="21"/>
                <w:szCs w:val="21"/>
                <w:shd w:val="clear" w:fill="FFFFFF"/>
              </w:rPr>
              <w:t>高低压成套开关设备和电缆桥架的销售及其所涉及场所的相关环境管理活动.</w:t>
            </w:r>
          </w:p>
        </w:tc>
        <w:tc>
          <w:tcPr>
            <w:tcW w:w="1186" w:type="dxa"/>
            <w:vAlign w:val="center"/>
          </w:tcPr>
          <w:p>
            <w:pPr>
              <w:rPr>
                <w:lang w:eastAsia="ja-JP"/>
              </w:rPr>
            </w:pPr>
            <w:r>
              <w:rPr>
                <w:rFonts w:ascii="Helvetica" w:hAnsi="Helvetica" w:eastAsia="Helvetica" w:cs="Helvetica"/>
                <w:i w:val="0"/>
                <w:iCs w:val="0"/>
                <w:caps w:val="0"/>
                <w:color w:val="000000"/>
                <w:spacing w:val="0"/>
                <w:sz w:val="21"/>
                <w:szCs w:val="21"/>
                <w:shd w:val="clear" w:fill="FFFFFF"/>
              </w:rPr>
              <w:t>GB/T 24001-2016</w:t>
            </w:r>
          </w:p>
        </w:tc>
        <w:tc>
          <w:tcPr>
            <w:tcW w:w="668" w:type="dxa"/>
            <w:shd w:val="clear" w:color="auto" w:fill="FFFFFF"/>
          </w:tcPr>
          <w:p>
            <w:pPr>
              <w:rPr>
                <w:rFonts w:hint="eastAsia" w:eastAsia="宋体"/>
                <w:lang w:val="en-US" w:eastAsia="zh-CN"/>
              </w:rPr>
            </w:pPr>
            <w:r>
              <w:rPr>
                <w:rFonts w:hint="eastAsia"/>
                <w:lang w:val="en-US"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组长</w:t>
            </w:r>
          </w:p>
        </w:tc>
        <w:tc>
          <w:tcPr>
            <w:tcW w:w="711" w:type="dxa"/>
            <w:vAlign w:val="center"/>
          </w:tcPr>
          <w:p>
            <w:r>
              <w:t>女</w:t>
            </w:r>
          </w:p>
        </w:tc>
        <w:tc>
          <w:tcPr>
            <w:tcW w:w="3870" w:type="dxa"/>
            <w:vAlign w:val="center"/>
          </w:tcPr>
          <w:p>
            <w:r>
              <w:t>2022-N1EMS-1215052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de-DE" w:eastAsia="ja-JP"/>
              </w:rPr>
              <w:t>河北省沧州市任丘市粱召镇北芦张村村西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val="en-GB"/>
              </w:rPr>
            </w:pPr>
            <w:r>
              <w:rPr>
                <w:rFonts w:hint="eastAsia"/>
                <w:lang w:val="en-GB"/>
              </w:rPr>
              <w:t>依据规定使用标志和证书。</w:t>
            </w:r>
          </w:p>
          <w:p>
            <w:pPr>
              <w:pStyle w:val="12"/>
              <w:rPr>
                <w:rFonts w:hint="eastAsia" w:eastAsia="宋体"/>
                <w:lang w:val="en-GB" w:eastAsia="zh-CN"/>
              </w:rPr>
            </w:pPr>
            <w:r>
              <w:rPr>
                <w:rFonts w:hint="eastAsia"/>
                <w:lang w:val="en-GB" w:eastAsia="zh-CN"/>
              </w:rPr>
              <w:t>主要用于投标好和对客户展示</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-467360</wp:posOffset>
                  </wp:positionV>
                  <wp:extent cx="909955" cy="602615"/>
                  <wp:effectExtent l="0" t="0" r="4445" b="6985"/>
                  <wp:wrapThrough wrapText="bothSides">
                    <wp:wrapPolygon>
                      <wp:start x="0" y="0"/>
                      <wp:lineTo x="0" y="21168"/>
                      <wp:lineTo x="21253" y="21168"/>
                      <wp:lineTo x="21253" y="0"/>
                      <wp:lineTo x="0" y="0"/>
                    </wp:wrapPolygon>
                  </wp:wrapThrough>
                  <wp:docPr id="1" name="图片 1" descr="1650260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260674(1)"/>
                          <pic:cNvPicPr>
                            <a:picLocks noChangeAspect="1"/>
                          </pic:cNvPicPr>
                        </pic:nvPicPr>
                        <pic:blipFill>
                          <a:blip r:embed="rId6"/>
                          <a:stretch>
                            <a:fillRect/>
                          </a:stretch>
                        </pic:blipFill>
                        <pic:spPr>
                          <a:xfrm>
                            <a:off x="0" y="0"/>
                            <a:ext cx="909955" cy="6026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安全第一、保障健康       质量为本、规范生产</w:t>
            </w:r>
          </w:p>
          <w:p>
            <w:pPr>
              <w:shd w:val="clear" w:color="auto" w:fill="EBF1DE" w:themeFill="accent3" w:themeFillTint="32"/>
              <w:rPr>
                <w:u w:val="single"/>
              </w:rPr>
            </w:pPr>
            <w:r>
              <w:rPr>
                <w:rFonts w:hint="eastAsia"/>
                <w:u w:val="single"/>
              </w:rPr>
              <w:t>减少污染、节能降耗       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sz w:val="20"/>
                      <w:szCs w:val="20"/>
                    </w:rPr>
                    <w:t>产品出库时未对照销售记录进行复核</w:t>
                  </w:r>
                </w:p>
              </w:tc>
              <w:tc>
                <w:tcPr>
                  <w:tcW w:w="3965" w:type="dxa"/>
                </w:tcPr>
                <w:p>
                  <w:pPr>
                    <w:rPr>
                      <w:rFonts w:hint="eastAsia" w:ascii="宋体" w:hAnsi="宋体" w:eastAsia="宋体" w:cs="宋体"/>
                      <w:sz w:val="21"/>
                      <w:szCs w:val="21"/>
                      <w:lang w:eastAsia="zh-CN"/>
                    </w:rPr>
                  </w:pPr>
                  <w:r>
                    <w:rPr>
                      <w:rFonts w:hint="eastAsia"/>
                      <w:sz w:val="20"/>
                      <w:szCs w:val="20"/>
                    </w:rPr>
                    <w:t>产品出库应逐批对照销售订单（销售明细）复核</w:t>
                  </w:r>
                  <w:r>
                    <w:rPr>
                      <w:rFonts w:hint="eastAsia"/>
                      <w:sz w:val="20"/>
                      <w:szCs w:val="20"/>
                      <w:lang w:eastAsia="zh-CN"/>
                    </w:rPr>
                    <w:t>；</w:t>
                  </w:r>
                </w:p>
                <w:p>
                  <w:pPr>
                    <w:shd w:val="clear" w:color="auto" w:fill="EBF1DE" w:themeFill="accent3" w:themeFillTint="32"/>
                  </w:pPr>
                </w:p>
              </w:tc>
              <w:tc>
                <w:tcPr>
                  <w:tcW w:w="1717" w:type="dxa"/>
                </w:tcPr>
                <w:p>
                  <w:pPr>
                    <w:shd w:val="clear" w:color="auto" w:fill="EBF1DE" w:themeFill="accent3" w:themeFillTint="32"/>
                    <w:rPr>
                      <w:rFonts w:hint="eastAsia" w:eastAsia="宋体"/>
                      <w:lang w:eastAsia="zh-CN"/>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ascii="宋体" w:hAnsi="宋体" w:eastAsia="宋体" w:cs="宋体"/>
                      <w:sz w:val="21"/>
                      <w:szCs w:val="21"/>
                    </w:rPr>
                    <w:t>搬运和堆码产品应未按照外包装标示要求规范操作</w:t>
                  </w:r>
                </w:p>
              </w:tc>
              <w:tc>
                <w:tcPr>
                  <w:tcW w:w="3965" w:type="dxa"/>
                </w:tcPr>
                <w:p>
                  <w:pPr>
                    <w:shd w:val="clear" w:color="auto" w:fill="EBF1DE" w:themeFill="accent3" w:themeFillTint="32"/>
                  </w:pPr>
                  <w:r>
                    <w:rPr>
                      <w:rFonts w:hint="eastAsia"/>
                      <w:sz w:val="20"/>
                      <w:szCs w:val="20"/>
                    </w:rPr>
                    <w:t>巡检仓库</w:t>
                  </w:r>
                  <w:r>
                    <w:rPr>
                      <w:rFonts w:hint="eastAsia" w:ascii="宋体" w:hAnsi="宋体" w:eastAsia="宋体" w:cs="宋体"/>
                      <w:sz w:val="21"/>
                      <w:szCs w:val="21"/>
                    </w:rPr>
                    <w:t>，重新整理仓储产品堆码。对堆码不符合要求的由养护员重点养护检查，发现问题立即上报</w:t>
                  </w:r>
                </w:p>
              </w:tc>
              <w:tc>
                <w:tcPr>
                  <w:tcW w:w="1717" w:type="dxa"/>
                </w:tcPr>
                <w:p>
                  <w:pPr>
                    <w:shd w:val="clear" w:color="auto" w:fill="EBF1DE" w:themeFill="accent3" w:themeFillTint="32"/>
                    <w:rPr>
                      <w:rFonts w:hint="eastAsia" w:eastAsia="宋体"/>
                      <w:lang w:eastAsia="zh-CN"/>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ascii="宋体" w:hAnsi="宋体" w:eastAsia="宋体" w:cs="宋体"/>
                      <w:sz w:val="21"/>
                      <w:szCs w:val="21"/>
                    </w:rPr>
                    <w:t>制度时效性不强，与现行规定不符</w:t>
                  </w:r>
                </w:p>
              </w:tc>
              <w:tc>
                <w:tcPr>
                  <w:tcW w:w="3965" w:type="dxa"/>
                </w:tcPr>
                <w:p>
                  <w:pPr>
                    <w:shd w:val="clear" w:color="auto" w:fill="EBF1DE" w:themeFill="accent3" w:themeFillTint="32"/>
                  </w:pPr>
                  <w:r>
                    <w:rPr>
                      <w:rFonts w:hint="eastAsia" w:ascii="宋体" w:hAnsi="宋体" w:eastAsia="宋体" w:cs="宋体"/>
                      <w:sz w:val="21"/>
                      <w:szCs w:val="21"/>
                    </w:rPr>
                    <w:t>对之前的经营情况按照现行规定进行内审，对既成事实的违规操作进行追回等补救措施。</w:t>
                  </w:r>
                </w:p>
              </w:tc>
              <w:tc>
                <w:tcPr>
                  <w:tcW w:w="1717" w:type="dxa"/>
                </w:tcPr>
                <w:p>
                  <w:pPr>
                    <w:shd w:val="clear" w:color="auto" w:fill="EBF1DE" w:themeFill="accent3" w:themeFillTint="32"/>
                    <w:rPr>
                      <w:rFonts w:hint="eastAsia" w:eastAsia="宋体"/>
                      <w:lang w:eastAsia="zh-CN"/>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w:t>
            </w:r>
            <w:r>
              <w:rPr>
                <w:rFonts w:hint="eastAsia"/>
              </w:rPr>
              <w:sym w:font="Wingdings 2" w:char="0052"/>
            </w:r>
            <w:r>
              <w:rPr>
                <w:rFonts w:hint="eastAsia"/>
                <w:lang w:eastAsia="zh-CN"/>
              </w:rPr>
              <w:t>固</w:t>
            </w:r>
            <w:r>
              <w:rPr>
                <w:rFonts w:hint="eastAsia"/>
              </w:rPr>
              <w:t>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sz w:val="21"/>
                      <w:szCs w:val="21"/>
                    </w:rPr>
                    <w:t>固体废物100%分类</w:t>
                  </w:r>
                  <w:r>
                    <w:rPr>
                      <w:rFonts w:hint="eastAsia" w:ascii="宋体" w:hAnsi="宋体" w:eastAsia="宋体" w:cs="宋体"/>
                      <w:sz w:val="21"/>
                      <w:szCs w:val="21"/>
                      <w:lang w:val="en-US" w:eastAsia="zh-CN"/>
                    </w:rPr>
                    <w:t>处置</w:t>
                  </w:r>
                </w:p>
              </w:tc>
              <w:tc>
                <w:tcPr>
                  <w:tcW w:w="3136" w:type="dxa"/>
                  <w:shd w:val="clear" w:color="auto" w:fill="auto"/>
                  <w:vAlign w:val="center"/>
                </w:tcPr>
                <w:p>
                  <w:pPr>
                    <w:rPr>
                      <w:rFonts w:hint="eastAsia" w:cs="宋体"/>
                    </w:rPr>
                  </w:pPr>
                  <w:r>
                    <w:rPr>
                      <w:rFonts w:hint="eastAsia" w:cs="宋体"/>
                    </w:rPr>
                    <w:t>1制作固废分类标识牌；</w:t>
                  </w:r>
                </w:p>
                <w:p>
                  <w:pPr>
                    <w:shd w:val="clear" w:color="auto" w:fill="EBF1DE" w:themeFill="accent3" w:themeFillTint="32"/>
                    <w:rPr>
                      <w:lang w:val="en-GB"/>
                    </w:rPr>
                  </w:pPr>
                  <w:r>
                    <w:rPr>
                      <w:rFonts w:hint="eastAsia" w:cs="宋体"/>
                    </w:rPr>
                    <w:t>划分固废分类存放区，制作存放容器；进行固废分类及要求的培训；每月检查固废分类存放及回收状况。</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办公室</w:t>
                  </w:r>
                </w:p>
              </w:tc>
              <w:tc>
                <w:tcPr>
                  <w:tcW w:w="1774" w:type="dxa"/>
                  <w:shd w:val="clear" w:color="auto" w:fill="auto"/>
                  <w:vAlign w:val="center"/>
                </w:tcPr>
                <w:p>
                  <w:pPr>
                    <w:shd w:val="clear" w:color="auto" w:fill="EBF1DE" w:themeFill="accent3" w:themeFillTint="32"/>
                    <w:jc w:val="both"/>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sz w:val="21"/>
                      <w:szCs w:val="21"/>
                    </w:rPr>
                    <w:t>杜绝火灾事故发生</w:t>
                  </w:r>
                </w:p>
              </w:tc>
              <w:tc>
                <w:tcPr>
                  <w:tcW w:w="3136" w:type="dxa"/>
                  <w:shd w:val="clear" w:color="auto" w:fill="auto"/>
                  <w:vAlign w:val="center"/>
                </w:tcPr>
                <w:p>
                  <w:pPr>
                    <w:shd w:val="clear" w:color="auto" w:fill="EBF1DE" w:themeFill="accent3" w:themeFillTint="32"/>
                    <w:rPr>
                      <w:rFonts w:ascii="宋体" w:hAnsi="宋体"/>
                    </w:rPr>
                  </w:pPr>
                  <w:r>
                    <w:rPr>
                      <w:rFonts w:hint="eastAsia" w:hAnsi="宋体"/>
                      <w:bCs/>
                      <w:szCs w:val="22"/>
                    </w:rPr>
                    <w:t>规定下班时间及时关闭办公设备电源</w:t>
                  </w:r>
                  <w:r>
                    <w:rPr>
                      <w:rFonts w:hint="eastAsia" w:hAnsi="宋体"/>
                      <w:bCs/>
                    </w:rPr>
                    <w:t>；</w:t>
                  </w:r>
                  <w:r>
                    <w:rPr>
                      <w:rFonts w:hAnsi="宋体"/>
                      <w:bCs/>
                    </w:rPr>
                    <w:t xml:space="preserve"> </w:t>
                  </w:r>
                  <w:r>
                    <w:rPr>
                      <w:rFonts w:hint="eastAsia" w:hAnsi="宋体"/>
                      <w:bCs/>
                    </w:rPr>
                    <w:t>每月安全大检查</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A3"/>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eastAsia="zh-CN"/>
              </w:rPr>
              <w:t>办公桌椅、电脑、电话、打印机、开票机、车辆</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hint="eastAsia" w:eastAsia="宋体"/>
                <w:lang w:eastAsia="zh-CN"/>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r>
              <w:rPr>
                <w:rFonts w:hint="eastAsia"/>
                <w:lang w:eastAsia="zh-CN"/>
              </w:rPr>
              <w:t>：告知书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w:t>
            </w:r>
            <w:r>
              <w:rPr>
                <w:rFonts w:hint="eastAsia"/>
              </w:rPr>
              <w:sym w:font="Wingdings 2" w:char="0052"/>
            </w:r>
            <w:r>
              <w:rPr>
                <w:rFonts w:hint="eastAsia"/>
              </w:rPr>
              <w:t>法律法规获取有遗漏，缺少：</w:t>
            </w:r>
          </w:p>
          <w:p>
            <w:pPr>
              <w:shd w:val="clear" w:color="auto" w:fill="EBF1DE" w:themeFill="accent3" w:themeFillTint="32"/>
              <w:rPr>
                <w:rFonts w:hint="eastAsia" w:eastAsia="宋体"/>
                <w:lang w:eastAsia="zh-CN"/>
              </w:rPr>
            </w:pPr>
            <w:r>
              <w:rPr>
                <w:rFonts w:hint="eastAsia"/>
                <w:lang w:eastAsia="zh-CN"/>
              </w:rPr>
              <w:t>识别的中华人民共和国噪声污染防治法、民法典不是现行有效版本</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shd w:val="clear" w:color="auto" w:fill="EBF1DE" w:themeFill="accent3" w:themeFillTint="32"/>
                    <w:jc w:val="left"/>
                    <w:rPr>
                      <w:rFonts w:hint="eastAsia" w:eastAsia="宋体"/>
                      <w:lang w:eastAsia="zh-CN"/>
                    </w:rPr>
                  </w:pPr>
                  <w:r>
                    <w:rPr>
                      <w:rFonts w:hint="eastAsia"/>
                      <w:lang w:eastAsia="zh-CN"/>
                    </w:rPr>
                    <w:t>能源消耗</w:t>
                  </w:r>
                </w:p>
              </w:tc>
              <w:tc>
                <w:tcPr>
                  <w:tcW w:w="3665" w:type="dxa"/>
                  <w:vAlign w:val="top"/>
                </w:tcPr>
                <w:p>
                  <w:pPr>
                    <w:shd w:val="clear" w:color="auto" w:fill="EBF1DE" w:themeFill="accent3" w:themeFillTint="32"/>
                    <w:jc w:val="left"/>
                    <w:rPr>
                      <w:rFonts w:hint="eastAsia" w:eastAsia="宋体"/>
                      <w:lang w:eastAsia="zh-CN"/>
                    </w:rPr>
                  </w:pPr>
                  <w:r>
                    <w:rPr>
                      <w:rFonts w:hint="eastAsia"/>
                      <w:lang w:eastAsia="zh-CN"/>
                    </w:rPr>
                    <w:t>管理方案</w:t>
                  </w:r>
                </w:p>
              </w:tc>
              <w:tc>
                <w:tcPr>
                  <w:tcW w:w="3265" w:type="dxa"/>
                  <w:vAlign w:val="top"/>
                </w:tcPr>
                <w:p>
                  <w:pPr>
                    <w:shd w:val="clear" w:color="auto" w:fill="EBF1DE" w:themeFill="accent3" w:themeFillTint="32"/>
                    <w:jc w:val="left"/>
                    <w:rPr>
                      <w:rFonts w:hint="eastAsia"/>
                      <w:lang w:val="en-US" w:eastAsia="zh-CN"/>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日进行了</w:t>
            </w:r>
            <w:r>
              <w:rPr>
                <w:rFonts w:hint="eastAsia"/>
                <w:lang w:eastAsia="zh-CN"/>
              </w:rPr>
              <w:t>火灾事故救援</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bookmarkStart w:id="34" w:name="_GoBack"/>
            <w:bookmarkEnd w:id="34"/>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2"/>
      </w:pPr>
    </w:p>
    <w:p>
      <w:pPr>
        <w:pStyle w:val="2"/>
      </w:pPr>
    </w:p>
    <w:p>
      <w:pPr>
        <w:pStyle w:val="2"/>
      </w:pPr>
    </w:p>
    <w:p>
      <w:pPr>
        <w:pStyle w:val="2"/>
      </w:pPr>
    </w:p>
    <w:p>
      <w:pPr>
        <w:pStyle w:val="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5YTFkYjFhYjNiNjIyOTkyMTY0NmZjZDIxZWNjMDcifQ=="/>
  </w:docVars>
  <w:rsids>
    <w:rsidRoot w:val="00000000"/>
    <w:rsid w:val="0DA83379"/>
    <w:rsid w:val="1B7C0733"/>
    <w:rsid w:val="69054424"/>
    <w:rsid w:val="6CB53529"/>
    <w:rsid w:val="787C4FBD"/>
    <w:rsid w:val="7CF71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8583</Words>
  <Characters>9110</Characters>
  <Lines>150</Lines>
  <Paragraphs>42</Paragraphs>
  <TotalTime>0</TotalTime>
  <ScaleCrop>false</ScaleCrop>
  <LinksUpToDate>false</LinksUpToDate>
  <CharactersWithSpaces>9177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园园</cp:lastModifiedBy>
  <cp:lastPrinted>2019-05-13T03:19:00Z</cp:lastPrinted>
  <dcterms:modified xsi:type="dcterms:W3CDTF">2022-09-09T01:40:18Z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