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
          <w:bCs/>
          <w:sz w:val="44"/>
          <w:szCs w:val="44"/>
        </w:rPr>
      </w:pPr>
      <w:r>
        <w:rPr>
          <w:rFonts w:hint="eastAsia" w:ascii="楷体" w:hAnsi="楷体" w:eastAsia="楷体"/>
          <w:b/>
          <w:bCs/>
          <w:sz w:val="44"/>
          <w:szCs w:val="44"/>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0962"/>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1134" w:type="dxa"/>
            <w:vMerge w:val="restart"/>
            <w:vAlign w:val="center"/>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962" w:type="dxa"/>
            <w:vAlign w:val="center"/>
          </w:tcPr>
          <w:p>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受审核部门：管理层   </w:t>
            </w:r>
            <w:r>
              <w:rPr>
                <w:rFonts w:hint="eastAsia" w:asciiTheme="minorEastAsia" w:hAnsiTheme="minorEastAsia" w:eastAsiaTheme="minorEastAsia" w:cstheme="minorEastAsia"/>
                <w:sz w:val="21"/>
                <w:szCs w:val="21"/>
                <w:lang w:val="en-US" w:eastAsia="zh-CN"/>
              </w:rPr>
              <w:t>总经理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莫利昆     </w:t>
            </w:r>
            <w:r>
              <w:rPr>
                <w:rFonts w:hint="eastAsia" w:asciiTheme="minorEastAsia" w:hAnsiTheme="minorEastAsia" w:eastAsiaTheme="minorEastAsia" w:cstheme="minorEastAsia"/>
                <w:sz w:val="21"/>
                <w:szCs w:val="21"/>
              </w:rPr>
              <w:t xml:space="preserve"> 陪同人员：</w:t>
            </w:r>
            <w:r>
              <w:rPr>
                <w:rFonts w:hint="eastAsia" w:asciiTheme="minorEastAsia" w:hAnsiTheme="minorEastAsia" w:eastAsiaTheme="minorEastAsia" w:cstheme="minorEastAsia"/>
                <w:sz w:val="21"/>
                <w:szCs w:val="21"/>
                <w:lang w:val="en-US" w:eastAsia="zh-CN"/>
              </w:rPr>
              <w:t>任利广、赵鹏超（员工代表）</w:t>
            </w:r>
          </w:p>
        </w:tc>
        <w:tc>
          <w:tcPr>
            <w:tcW w:w="804" w:type="dxa"/>
            <w:vMerge w:val="restart"/>
            <w:vAlign w:val="center"/>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240" w:lineRule="auto"/>
              <w:rPr>
                <w:rFonts w:hint="eastAsia" w:asciiTheme="minorEastAsia" w:hAnsiTheme="minorEastAsia" w:eastAsiaTheme="minorEastAsia" w:cstheme="minorEastAsia"/>
                <w:sz w:val="21"/>
                <w:szCs w:val="21"/>
              </w:rPr>
            </w:pPr>
          </w:p>
        </w:tc>
        <w:tc>
          <w:tcPr>
            <w:tcW w:w="1134" w:type="dxa"/>
            <w:vMerge w:val="continue"/>
            <w:vAlign w:val="center"/>
          </w:tcPr>
          <w:p>
            <w:pPr>
              <w:spacing w:line="240" w:lineRule="auto"/>
              <w:rPr>
                <w:rFonts w:hint="eastAsia" w:asciiTheme="minorEastAsia" w:hAnsiTheme="minorEastAsia" w:eastAsiaTheme="minorEastAsia" w:cstheme="minorEastAsia"/>
                <w:sz w:val="21"/>
                <w:szCs w:val="21"/>
              </w:rPr>
            </w:pPr>
          </w:p>
        </w:tc>
        <w:tc>
          <w:tcPr>
            <w:tcW w:w="10962" w:type="dxa"/>
            <w:vAlign w:val="center"/>
          </w:tcPr>
          <w:p>
            <w:pPr>
              <w:spacing w:before="120"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王志慧 </w:t>
            </w:r>
            <w:r>
              <w:rPr>
                <w:rFonts w:hint="eastAsia" w:asciiTheme="minorEastAsia" w:hAnsiTheme="minorEastAsia" w:eastAsiaTheme="minorEastAsia" w:cstheme="minorEastAsia"/>
                <w:sz w:val="21"/>
                <w:szCs w:val="21"/>
              </w:rPr>
              <w:t xml:space="preserve">    审核时间：20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.4</w:t>
            </w:r>
          </w:p>
        </w:tc>
        <w:tc>
          <w:tcPr>
            <w:tcW w:w="804" w:type="dxa"/>
            <w:vMerge w:val="continue"/>
          </w:tcPr>
          <w:p>
            <w:pPr>
              <w:spacing w:line="240" w:lineRule="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240" w:lineRule="auto"/>
              <w:rPr>
                <w:rFonts w:hint="eastAsia" w:asciiTheme="minorEastAsia" w:hAnsiTheme="minorEastAsia" w:eastAsiaTheme="minorEastAsia" w:cstheme="minorEastAsia"/>
                <w:sz w:val="21"/>
                <w:szCs w:val="21"/>
              </w:rPr>
            </w:pPr>
          </w:p>
        </w:tc>
        <w:tc>
          <w:tcPr>
            <w:tcW w:w="1134" w:type="dxa"/>
            <w:vMerge w:val="continue"/>
            <w:vAlign w:val="center"/>
          </w:tcPr>
          <w:p>
            <w:pPr>
              <w:spacing w:line="240" w:lineRule="auto"/>
              <w:rPr>
                <w:rFonts w:hint="eastAsia" w:asciiTheme="minorEastAsia" w:hAnsiTheme="minorEastAsia" w:eastAsiaTheme="minorEastAsia" w:cstheme="minorEastAsia"/>
                <w:sz w:val="21"/>
                <w:szCs w:val="21"/>
              </w:rPr>
            </w:pPr>
          </w:p>
        </w:tc>
        <w:tc>
          <w:tcPr>
            <w:tcW w:w="10962" w:type="dxa"/>
            <w:vAlign w:val="center"/>
          </w:tcPr>
          <w:p>
            <w:pPr>
              <w:spacing w:line="24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审核条款：</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Q/(J)：Q:4.1/4.2/4.3/4.4/（3.1、3.3）5.1（4.3）/5.2（3.2）/5.3（4.3）/6.1（12.3-5）/6.2（3.2）/6.3（3.4）/7.1.1(3.4)/9.1.1（3.4.2、11.1.1、11.2、12.1、12.2.1-2）/9.3（12.4）/10.1(12.1)/10.3（12.5）</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E：4.1/4.2/4.3/4.4/5.1/5.2/5.3/6.1.1/6.1.4/6.2/7.1/9.1.1/9.3/10.1/10.3 </w:t>
            </w:r>
          </w:p>
          <w:p>
            <w:pPr>
              <w:spacing w:line="24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O: 4.1/4.2/4.3/4.4/5.1/5.2/5.3/5.4/6.1.1/6.2/7.1/7.5.1/8.1.1/8.2/9.1.1/9.3/10.1/10.3</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资质验证、安全事故、顾客投诉、抽查、遵纪守法情况等。</w:t>
            </w:r>
            <w:r>
              <w:rPr>
                <w:rFonts w:hint="eastAsia" w:asciiTheme="minorEastAsia" w:hAnsiTheme="minorEastAsia" w:eastAsiaTheme="minorEastAsia" w:cstheme="minorEastAsia"/>
                <w:sz w:val="21"/>
                <w:szCs w:val="21"/>
                <w:lang w:val="en-US" w:eastAsia="zh-CN"/>
              </w:rPr>
              <w:t xml:space="preserve">     Q8.3 J10.3设计删减确认。</w:t>
            </w:r>
          </w:p>
        </w:tc>
        <w:tc>
          <w:tcPr>
            <w:tcW w:w="804" w:type="dxa"/>
            <w:vMerge w:val="continue"/>
          </w:tcPr>
          <w:p>
            <w:pPr>
              <w:spacing w:line="240" w:lineRule="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组织及其环境;</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相关方需求与期望;</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确定体系范围;</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体系及其过程;</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总要求</w:t>
            </w:r>
          </w:p>
          <w:p>
            <w:pPr>
              <w:spacing w:line="240" w:lineRule="auto"/>
              <w:rPr>
                <w:rFonts w:hint="eastAsia" w:asciiTheme="minorEastAsia" w:hAnsiTheme="minorEastAsia" w:eastAsiaTheme="minorEastAsia" w:cstheme="minorEastAsia"/>
                <w:sz w:val="21"/>
                <w:szCs w:val="21"/>
              </w:rPr>
            </w:pPr>
          </w:p>
        </w:tc>
        <w:tc>
          <w:tcPr>
            <w:tcW w:w="1134" w:type="dxa"/>
          </w:tcPr>
          <w:p>
            <w:pPr>
              <w:adjustRightInd w:val="0"/>
              <w:snapToGrid w:val="0"/>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QEO:4.1;4.2;4.3;4.4</w:t>
            </w:r>
          </w:p>
          <w:p>
            <w:pPr>
              <w:adjustRightInd w:val="0"/>
              <w:snapToGrid w:val="0"/>
              <w:spacing w:line="240" w:lineRule="auto"/>
              <w:rPr>
                <w:rFonts w:hint="eastAsia" w:asciiTheme="minorEastAsia" w:hAnsiTheme="minorEastAsia" w:eastAsiaTheme="minorEastAsia" w:cstheme="minorEastAsia"/>
                <w:sz w:val="21"/>
                <w:szCs w:val="21"/>
              </w:rPr>
            </w:pP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J:3.3/</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w:t>
            </w:r>
          </w:p>
        </w:tc>
        <w:tc>
          <w:tcPr>
            <w:tcW w:w="10962" w:type="dxa"/>
          </w:tcPr>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北昶崴建筑安装工程有限公司，主要从事建筑设施道路、桥梁、厂房、车间的建筑吊装和安装等业务，注册资本金1500万元。拥有各类大中型工程机械设备、特种设备：三一220吨全地面起重机、三一350吨全地面起重机、通联重工120T/40M架桥机、徐工180T单导架桥机、龙门吊、运输车若干辆。拥有各类高素质人才：专业技术人员10余名，，中级技术职称5名，建造师2名。内设架桥机组、起重机组、运输组。员工队伍结构合理，战斗力强，大批的技能型人才和管理型人才成为推动企业发展的不竭动力。是一家装备精良，技术实力雄厚的专业施工企业</w:t>
            </w:r>
            <w:r>
              <w:rPr>
                <w:rFonts w:hint="eastAsia" w:asciiTheme="minorEastAsia" w:hAnsiTheme="minorEastAsia" w:eastAsiaTheme="minorEastAsia" w:cstheme="minorEastAsia"/>
                <w:sz w:val="21"/>
                <w:szCs w:val="21"/>
                <w:lang w:val="en-US" w:eastAsia="zh-CN"/>
              </w:rPr>
              <w:t>.</w:t>
            </w:r>
          </w:p>
          <w:p>
            <w:pPr>
              <w:pStyle w:val="2"/>
              <w:spacing w:line="240" w:lineRule="auto"/>
              <w:ind w:firstLine="460" w:firstLineChars="200"/>
              <w:rPr>
                <w:color w:val="000000"/>
                <w:szCs w:val="21"/>
              </w:rPr>
            </w:pPr>
            <w:r>
              <w:rPr>
                <w:rFonts w:hint="eastAsia" w:asciiTheme="minorEastAsia" w:hAnsiTheme="minorEastAsia" w:eastAsiaTheme="minorEastAsia" w:cstheme="minorEastAsia"/>
                <w:sz w:val="21"/>
                <w:szCs w:val="21"/>
              </w:rPr>
              <w:t>查：</w:t>
            </w: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r>
              <w:rPr>
                <w:rFonts w:hint="eastAsia"/>
                <w:color w:val="000000"/>
                <w:szCs w:val="21"/>
                <w:lang w:val="en-US" w:eastAsia="zh-CN"/>
              </w:rPr>
              <w:t>91130130MA08401TXB</w:t>
            </w:r>
          </w:p>
          <w:p>
            <w:pPr>
              <w:spacing w:line="440" w:lineRule="exact"/>
              <w:rPr>
                <w:color w:val="000000"/>
                <w:szCs w:val="21"/>
              </w:rPr>
            </w:pPr>
            <w:r>
              <w:rPr>
                <w:rFonts w:hint="eastAsia"/>
                <w:color w:val="000000"/>
                <w:szCs w:val="21"/>
              </w:rPr>
              <w:t>组织代码证编号：</w:t>
            </w:r>
            <w:r>
              <w:rPr>
                <w:rFonts w:hint="eastAsia"/>
                <w:color w:val="000000"/>
                <w:szCs w:val="21"/>
                <w:lang w:val="en-US" w:eastAsia="zh-CN"/>
              </w:rPr>
              <w:t>91130130MA08401TXB</w:t>
            </w:r>
          </w:p>
          <w:p>
            <w:pPr>
              <w:spacing w:line="440" w:lineRule="exact"/>
              <w:rPr>
                <w:color w:val="000000"/>
                <w:szCs w:val="21"/>
              </w:rPr>
            </w:pPr>
            <w:r>
              <w:rPr>
                <w:rFonts w:hint="eastAsia"/>
                <w:color w:val="000000"/>
                <w:szCs w:val="21"/>
              </w:rPr>
              <w:t>许可证编号</w:t>
            </w:r>
            <w:r>
              <w:rPr>
                <w:rFonts w:hint="eastAsia"/>
                <w:color w:val="000000"/>
                <w:szCs w:val="21"/>
                <w:lang w:eastAsia="zh-CN"/>
              </w:rPr>
              <w:t>：（冀）</w:t>
            </w:r>
            <w:r>
              <w:rPr>
                <w:rFonts w:hint="eastAsia"/>
                <w:color w:val="000000"/>
                <w:szCs w:val="21"/>
                <w:lang w:val="en-US" w:eastAsia="zh-CN"/>
              </w:rPr>
              <w:t>JZ安许证字[2019]011978</w:t>
            </w:r>
          </w:p>
          <w:p>
            <w:pPr>
              <w:spacing w:line="440" w:lineRule="exact"/>
              <w:rPr>
                <w:color w:val="000000"/>
                <w:szCs w:val="21"/>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D213144851</w:t>
            </w:r>
          </w:p>
          <w:p>
            <w:pPr>
              <w:spacing w:line="240" w:lineRule="auto"/>
              <w:ind w:left="630" w:hanging="630" w:hangingChars="300"/>
              <w:jc w:val="left"/>
              <w:rPr>
                <w:rFonts w:hint="eastAsia" w:asciiTheme="minorEastAsia" w:hAnsiTheme="minorEastAsia" w:eastAsiaTheme="minorEastAsia" w:cstheme="minorEastAsia"/>
                <w:sz w:val="21"/>
                <w:szCs w:val="21"/>
              </w:rPr>
            </w:pPr>
            <w:r>
              <w:rPr>
                <w:rFonts w:hint="eastAsia"/>
                <w:color w:val="000000"/>
                <w:szCs w:val="21"/>
              </w:rPr>
              <w:t>外转企业认证证书编号</w:t>
            </w:r>
            <w:r>
              <w:rPr>
                <w:rFonts w:hint="eastAsia"/>
                <w:color w:val="000000"/>
                <w:szCs w:val="21"/>
                <w:lang w:eastAsia="zh-CN"/>
              </w:rPr>
              <w:t>：</w:t>
            </w:r>
            <w:r>
              <w:rPr>
                <w:rFonts w:hint="eastAsia"/>
                <w:color w:val="000000"/>
                <w:szCs w:val="21"/>
                <w:lang w:val="en-US" w:eastAsia="zh-CN"/>
              </w:rPr>
              <w:t>无</w:t>
            </w:r>
          </w:p>
          <w:p>
            <w:pPr>
              <w:spacing w:line="240" w:lineRule="auto"/>
              <w:ind w:left="630" w:leftChars="200" w:hanging="210" w:hangingChars="100"/>
              <w:jc w:val="left"/>
              <w:rPr>
                <w:rFonts w:hint="eastAsia" w:asciiTheme="minorEastAsia" w:hAnsiTheme="minorEastAsia" w:eastAsiaTheme="minorEastAsia" w:cstheme="minorEastAsia"/>
                <w:sz w:val="21"/>
                <w:szCs w:val="21"/>
              </w:rPr>
            </w:pPr>
            <w:bookmarkStart w:id="0" w:name="_GoBack"/>
            <w:bookmarkEnd w:id="0"/>
          </w:p>
          <w:p>
            <w:pPr>
              <w:spacing w:line="240" w:lineRule="auto"/>
              <w:ind w:left="630" w:leftChars="200" w:hanging="210" w:hangingChars="100"/>
              <w:jc w:val="left"/>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rPr>
              <w:t>核实：</w:t>
            </w:r>
            <w:r>
              <w:rPr>
                <w:rFonts w:hint="eastAsia" w:asciiTheme="minorEastAsia" w:hAnsiTheme="minorEastAsia" w:eastAsiaTheme="minorEastAsia" w:cstheme="minorEastAsia"/>
                <w:color w:val="FF0000"/>
                <w:sz w:val="21"/>
                <w:szCs w:val="21"/>
                <w:lang w:val="de-DE"/>
              </w:rPr>
              <w:t>生产经营地址</w:t>
            </w:r>
            <w:r>
              <w:rPr>
                <w:rFonts w:hint="eastAsia" w:asciiTheme="minorEastAsia" w:hAnsiTheme="minorEastAsia" w:eastAsiaTheme="minorEastAsia" w:cstheme="minorEastAsia"/>
                <w:color w:val="FF0000"/>
                <w:sz w:val="21"/>
                <w:szCs w:val="21"/>
              </w:rPr>
              <w:t>与</w:t>
            </w:r>
            <w:r>
              <w:rPr>
                <w:rFonts w:hint="eastAsia" w:asciiTheme="minorEastAsia" w:hAnsiTheme="minorEastAsia" w:eastAsiaTheme="minorEastAsia" w:cstheme="minorEastAsia"/>
                <w:color w:val="FF0000"/>
                <w:sz w:val="21"/>
                <w:szCs w:val="21"/>
                <w:lang w:val="en-US" w:eastAsia="zh-CN"/>
              </w:rPr>
              <w:t>原</w:t>
            </w:r>
            <w:r>
              <w:rPr>
                <w:rFonts w:hint="eastAsia" w:asciiTheme="minorEastAsia" w:hAnsiTheme="minorEastAsia" w:eastAsiaTheme="minorEastAsia" w:cstheme="minorEastAsia"/>
                <w:color w:val="FF0000"/>
                <w:sz w:val="21"/>
                <w:szCs w:val="21"/>
              </w:rPr>
              <w:t>任务书</w:t>
            </w:r>
            <w:r>
              <w:rPr>
                <w:rFonts w:hint="eastAsia" w:asciiTheme="minorEastAsia" w:hAnsiTheme="minorEastAsia" w:eastAsiaTheme="minorEastAsia" w:cstheme="minorEastAsia"/>
                <w:color w:val="FF0000"/>
                <w:sz w:val="21"/>
                <w:szCs w:val="21"/>
                <w:lang w:val="en-US" w:eastAsia="zh-CN"/>
              </w:rPr>
              <w:t>不</w:t>
            </w:r>
            <w:r>
              <w:rPr>
                <w:rFonts w:hint="eastAsia" w:asciiTheme="minorEastAsia" w:hAnsiTheme="minorEastAsia" w:eastAsiaTheme="minorEastAsia" w:cstheme="minorEastAsia"/>
                <w:color w:val="FF0000"/>
                <w:sz w:val="21"/>
                <w:szCs w:val="21"/>
              </w:rPr>
              <w:t>一致</w:t>
            </w: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color w:val="FF0000"/>
                <w:sz w:val="21"/>
                <w:szCs w:val="21"/>
                <w:lang w:val="en-US" w:eastAsia="zh-CN"/>
              </w:rPr>
              <w:t>已经填写D ISC-B-I-18《认证信息变更传递单》，并现场更正了任务书。</w:t>
            </w:r>
          </w:p>
          <w:p>
            <w:pPr>
              <w:pStyle w:val="2"/>
              <w:spacing w:line="240" w:lineRule="auto"/>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注册地址：石家庄市无极县郭庄镇姚家营村</w:t>
            </w:r>
          </w:p>
          <w:p>
            <w:pPr>
              <w:pStyle w:val="2"/>
              <w:spacing w:line="240" w:lineRule="auto"/>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生产经营地址：石家庄市裕华区宋营镇八方村东三环与石炼西路交口</w:t>
            </w:r>
          </w:p>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经确认，认证范围为</w:t>
            </w:r>
          </w:p>
          <w:p>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EC：资质范围内起重吊装服务</w:t>
            </w:r>
          </w:p>
          <w:p>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E：资质范围内起重吊装服务及其所涉及的环境管理活动</w:t>
            </w:r>
          </w:p>
          <w:p>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O：资质范围内起重吊装服务及其所涉及的职业健康安全管理活动 </w:t>
            </w:r>
          </w:p>
          <w:p>
            <w:pPr>
              <w:pStyle w:val="2"/>
              <w:spacing w:line="240" w:lineRule="auto"/>
              <w:ind w:firstLine="46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因为该公司主要为客户提供起重服务，无设计开发，删减</w:t>
            </w:r>
            <w:r>
              <w:rPr>
                <w:rFonts w:hint="eastAsia" w:asciiTheme="minorEastAsia" w:hAnsiTheme="minorEastAsia" w:eastAsiaTheme="minorEastAsia" w:cstheme="minorEastAsia"/>
                <w:sz w:val="21"/>
                <w:szCs w:val="21"/>
                <w:lang w:val="de-DE"/>
              </w:rPr>
              <w:t>GB/T19001-2016标准8.3条款和GB/T50430-2017规范的10.3条款</w:t>
            </w:r>
            <w:r>
              <w:rPr>
                <w:rFonts w:hint="eastAsia" w:asciiTheme="minorEastAsia" w:hAnsiTheme="minorEastAsia" w:eastAsiaTheme="minorEastAsia" w:cstheme="minorEastAsia"/>
                <w:sz w:val="21"/>
                <w:szCs w:val="21"/>
                <w:lang w:val="de-DE" w:eastAsia="zh-CN"/>
              </w:rPr>
              <w:t>。</w:t>
            </w:r>
            <w:r>
              <w:rPr>
                <w:rFonts w:hint="eastAsia" w:asciiTheme="minorEastAsia" w:hAnsiTheme="minorEastAsia" w:eastAsiaTheme="minorEastAsia" w:cstheme="minorEastAsia"/>
                <w:sz w:val="21"/>
                <w:szCs w:val="21"/>
                <w:lang w:val="en-US" w:eastAsia="zh-CN"/>
              </w:rPr>
              <w:t>删减合理。</w:t>
            </w:r>
          </w:p>
          <w:p>
            <w:pPr>
              <w:pStyle w:val="2"/>
              <w:spacing w:line="240" w:lineRule="auto"/>
              <w:ind w:firstLine="210" w:firstLineChars="1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val="0"/>
                <w:spacing w:val="0"/>
                <w:sz w:val="21"/>
                <w:szCs w:val="21"/>
              </w:rPr>
              <w:t>本公司</w:t>
            </w:r>
            <w:r>
              <w:rPr>
                <w:rFonts w:hint="eastAsia" w:asciiTheme="minorEastAsia" w:hAnsiTheme="minorEastAsia" w:eastAsiaTheme="minorEastAsia" w:cstheme="minorEastAsia"/>
                <w:bCs w:val="0"/>
                <w:spacing w:val="0"/>
                <w:sz w:val="21"/>
                <w:szCs w:val="21"/>
                <w:lang w:val="en-US" w:eastAsia="zh-CN"/>
              </w:rPr>
              <w:t>部分设备为租赁，已经查到设备租赁合同，基本符合。</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公司在管理手册和制定的《风险和机遇的应对控制程序》中，确定了对公司有利的内外部环境因素，对公司不利的内、外部因素有：市场竞争非常激烈，国家和政府对企业环保要求提高等。</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公司通过业内展会、同行交流、座谈会、每周工作例会、QQ、微信等进行内外部沟通，并定期进行评审，形成会议记录。</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抽查2019年总过程风险机会识别措施评价表，内容及记录清晰</w:t>
            </w:r>
            <w:r>
              <w:rPr>
                <w:rFonts w:hint="eastAsia" w:asciiTheme="minorEastAsia" w:hAnsiTheme="minorEastAsia" w:eastAsiaTheme="minorEastAsia" w:cstheme="minorEastAsia"/>
                <w:sz w:val="21"/>
                <w:szCs w:val="21"/>
                <w:lang w:eastAsia="zh-CN"/>
              </w:rPr>
              <w:t>：</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公司确定的相关方有员工、顾客 、政府机构、审核机构、供方等。</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理解员工诉求的形式为谈心、茶话会等；理解银行等相关方的形式主要为电话沟通、上门拜访等；</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员工关注的主要问题有工资、待遇、晋升机制、福利等，供方和合作伙伴关注的主要问题互利和连续性，产品质量、售后服务、成本价格、交付期等。</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查见《组织环境和相关方需求分析清单》</w:t>
            </w:r>
          </w:p>
          <w:p>
            <w:pPr>
              <w:spacing w:line="24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相关方：员工、顾客 、政府机构、审核机构、供方、银行、税务、邻居单位、物业等</w:t>
            </w:r>
            <w:r>
              <w:rPr>
                <w:rFonts w:hint="eastAsia" w:asciiTheme="minorEastAsia" w:hAnsiTheme="minorEastAsia" w:eastAsiaTheme="minorEastAsia" w:cstheme="minorEastAsia"/>
                <w:sz w:val="21"/>
                <w:szCs w:val="21"/>
                <w:lang w:eastAsia="zh-CN"/>
              </w:rPr>
              <w:t>；</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需求和期望：服务质量符合顾客要求等。</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对相关方的要求的监视和评审的方法多样，通过QQ和微信等现代通讯手段是常用的便捷而又高效主要方法。</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公司在管理手册和制定的《风险和机遇管理制度》中，确定了对公司有利的内外部环境因素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公司通过业内交流会、展会学习、座谈会、每周工作例会、QQ、微信等进行内外部沟通，并定期进行评审。</w:t>
            </w:r>
          </w:p>
          <w:p>
            <w:pPr>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整合建立了质量、环境和职业健康安全管理一体化的管理体系，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809"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领导作用与承诺</w:t>
            </w:r>
          </w:p>
          <w:p>
            <w:pPr>
              <w:spacing w:line="240" w:lineRule="auto"/>
              <w:rPr>
                <w:rFonts w:hint="eastAsia" w:asciiTheme="minorEastAsia" w:hAnsiTheme="minorEastAsia" w:eastAsiaTheme="minorEastAsia" w:cstheme="minorEastAsia"/>
                <w:sz w:val="21"/>
                <w:szCs w:val="21"/>
              </w:rPr>
            </w:pPr>
          </w:p>
        </w:tc>
        <w:tc>
          <w:tcPr>
            <w:tcW w:w="1134" w:type="dxa"/>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QEO5.1</w:t>
            </w:r>
          </w:p>
          <w:p>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J4.3</w:t>
            </w:r>
          </w:p>
        </w:tc>
        <w:tc>
          <w:tcPr>
            <w:tcW w:w="10962" w:type="dxa"/>
          </w:tcPr>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2、制定和发布公司自身发展质量方针； </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3、确保管理目标的制定、分解落实到相关职能和部门，并激励员工为实现目标而努力； </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4、定期进行管理评审，以评价管理方针、管理目标的适宜性及实现情况，同时评价管理体系的适宜性、充分性和有效性。 </w:t>
            </w:r>
          </w:p>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5、为确保建立、运行和持续改进管理体系所需的一切资源得到满足，公司提供了信息、技术、人力、设备、环境和资金等必要资源。</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809" w:type="dxa"/>
          </w:tcPr>
          <w:p>
            <w:pPr>
              <w:spacing w:line="24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方针</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QEO5.2 </w:t>
            </w:r>
          </w:p>
          <w:p>
            <w:pPr>
              <w:spacing w:line="24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J3.2</w:t>
            </w:r>
          </w:p>
        </w:tc>
        <w:tc>
          <w:tcPr>
            <w:tcW w:w="10962"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质量/环境/安全方针：</w:t>
            </w:r>
          </w:p>
          <w:p>
            <w:pPr>
              <w:pStyle w:val="2"/>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安全吊装，预防为主，满足顾客要求，持续改进；</w:t>
            </w:r>
          </w:p>
          <w:p>
            <w:pPr>
              <w:pStyle w:val="2"/>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遵守法规，降低能源消耗、关爱生命，确保员工健康.</w:t>
            </w:r>
          </w:p>
          <w:p>
            <w:pPr>
              <w:spacing w:line="240" w:lineRule="auto"/>
              <w:ind w:firstLine="420" w:firstLineChars="2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通过运行控制和按规定时间间隔进行内部审核，管理评审等措施，对质量、职业健康安全、环境管理体系进行持续改进。</w:t>
            </w:r>
          </w:p>
          <w:p>
            <w:pPr>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方针与公司的总体经营理念相适应、协调，符合企业目前现状，体现了让客户满意、保证质量符合性、预防污染、安全健康、遵纪守法、持续改进的承诺。</w:t>
            </w:r>
          </w:p>
          <w:p>
            <w:pPr>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QEO管理方针在手册上进行了确定和发布，并通过文件发放的形式发放至各部门、给员工进行了宣传培训。</w:t>
            </w:r>
          </w:p>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QEO方针对外进行了发布。</w:t>
            </w:r>
          </w:p>
          <w:p>
            <w:pPr>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手册对方针的内涵进行了阐述，为目标制定及评审提供了框架，每年至少一次,在管理评审会议上讨论其适宜性和改进机会。</w:t>
            </w:r>
          </w:p>
          <w:p>
            <w:pPr>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企业的QEO方针的内容和管理基本符合标准和法规要求。</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809" w:type="dxa"/>
          </w:tcPr>
          <w:p>
            <w:pPr>
              <w:adjustRightInd w:val="0"/>
              <w:snapToGrid w:val="0"/>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组织的角色、职责和权限；</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资源、角色、职责、责任与权限</w:t>
            </w:r>
          </w:p>
          <w:p>
            <w:pPr>
              <w:adjustRightInd w:val="0"/>
              <w:snapToGrid w:val="0"/>
              <w:spacing w:line="240" w:lineRule="auto"/>
              <w:rPr>
                <w:rFonts w:hint="eastAsia" w:asciiTheme="minorEastAsia" w:hAnsiTheme="minorEastAsia" w:eastAsiaTheme="minorEastAsia" w:cstheme="minorEastAsia"/>
                <w:b/>
                <w:sz w:val="21"/>
                <w:szCs w:val="21"/>
              </w:rPr>
            </w:pP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QEO5.3 </w:t>
            </w:r>
          </w:p>
          <w:p>
            <w:pPr>
              <w:spacing w:line="24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J4.2</w:t>
            </w:r>
          </w:p>
        </w:tc>
        <w:tc>
          <w:tcPr>
            <w:tcW w:w="10962" w:type="dxa"/>
          </w:tcPr>
          <w:p>
            <w:pPr>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查《管理手册》包括了企业组织机构图、职能分配表。</w:t>
            </w:r>
          </w:p>
          <w:p>
            <w:pPr>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该公司目前成立了四个部门：</w:t>
            </w:r>
            <w:r>
              <w:rPr>
                <w:rFonts w:hint="eastAsia" w:asciiTheme="minorEastAsia" w:hAnsiTheme="minorEastAsia" w:eastAsiaTheme="minorEastAsia" w:cstheme="minorEastAsia"/>
                <w:sz w:val="21"/>
                <w:szCs w:val="21"/>
                <w:lang w:val="en-US" w:eastAsia="zh-CN"/>
              </w:rPr>
              <w:t>办公室</w:t>
            </w:r>
            <w:r>
              <w:rPr>
                <w:rFonts w:hint="eastAsia" w:asciiTheme="minorEastAsia" w:hAnsiTheme="minorEastAsia" w:eastAsiaTheme="minorEastAsia" w:cstheme="minorEastAsia"/>
                <w:sz w:val="21"/>
                <w:szCs w:val="21"/>
              </w:rPr>
              <w:t>、工程部、</w:t>
            </w:r>
            <w:r>
              <w:rPr>
                <w:rFonts w:hint="eastAsia" w:asciiTheme="minorEastAsia" w:hAnsiTheme="minorEastAsia" w:eastAsiaTheme="minorEastAsia" w:cstheme="minorEastAsia"/>
                <w:sz w:val="21"/>
                <w:szCs w:val="21"/>
                <w:lang w:val="en-US" w:eastAsia="zh-CN"/>
              </w:rPr>
              <w:t>经营部</w:t>
            </w:r>
            <w:r>
              <w:rPr>
                <w:rFonts w:hint="eastAsia" w:asciiTheme="minorEastAsia" w:hAnsiTheme="minorEastAsia" w:eastAsiaTheme="minorEastAsia" w:cstheme="minorEastAsia"/>
                <w:sz w:val="21"/>
                <w:szCs w:val="21"/>
              </w:rPr>
              <w:t>、财务部。</w:t>
            </w:r>
          </w:p>
          <w:p>
            <w:pPr>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抽查：组织机构图、职能分配表、职责描述，基本保持一致。</w:t>
            </w:r>
          </w:p>
          <w:p>
            <w:pPr>
              <w:adjustRightInd w:val="0"/>
              <w:snapToGrid w:val="0"/>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公司编制了《岗位任职要求》对总经理、管理者代表、各部门的岗位职责和权限进行了规定，内容全面合理。各部门、岗位之间通过会议、文件传阅、培训等方式相互了解职责与权限。</w:t>
            </w:r>
          </w:p>
          <w:p>
            <w:pPr>
              <w:pStyle w:val="2"/>
              <w:spacing w:line="240" w:lineRule="auto"/>
              <w:ind w:firstLine="46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项目部设置有：项目经理、安全员、质检员、资料员等岗位</w:t>
            </w:r>
          </w:p>
          <w:p>
            <w:pPr>
              <w:pStyle w:val="2"/>
              <w:spacing w:line="240" w:lineRule="auto"/>
              <w:ind w:firstLine="46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总经理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莫利昆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管理者代表</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任利广     员工代表：赵鹏超</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8" w:hRule="atLeast"/>
        </w:trPr>
        <w:tc>
          <w:tcPr>
            <w:tcW w:w="1809" w:type="dxa"/>
          </w:tcPr>
          <w:p>
            <w:pPr>
              <w:adjustRightInd w:val="0"/>
              <w:snapToGrid w:val="0"/>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应对风险和机遇的措施；</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QEO6.1 </w:t>
            </w:r>
          </w:p>
          <w:p>
            <w:pPr>
              <w:spacing w:line="240" w:lineRule="auto"/>
              <w:rPr>
                <w:rFonts w:hint="eastAsia" w:asciiTheme="minorEastAsia" w:hAnsiTheme="minorEastAsia" w:eastAsiaTheme="minorEastAsia" w:cstheme="minorEastAsia"/>
                <w:b/>
                <w:sz w:val="21"/>
                <w:szCs w:val="21"/>
              </w:rPr>
            </w:pPr>
          </w:p>
        </w:tc>
        <w:tc>
          <w:tcPr>
            <w:tcW w:w="10962" w:type="dxa"/>
          </w:tcPr>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进行质量、环境和职业健康安全管理体系策划时，公司领导层考虑该公司所处的内外环境和问题，以及相关方的要求，识别和确定该公司工程施工和管理中存在的影响施工和服务质量的风险和机遇、通过环境因素和危险源识别及评价，合规义务的收集和评价，确定公司内外环境中存在的问题和合规义务的要求，识别公司存在的环境和职业健康安全风险和机遇。确保公司的质量、环境和职业健康安全管理体系能够实现其预期结果，预防或减少不期望的影响，包括外部环境状况对公司的潜在影响，实现持续改进。</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val="en-US" w:eastAsia="zh-CN"/>
              </w:rPr>
              <w:t>识别了</w:t>
            </w:r>
            <w:r>
              <w:rPr>
                <w:rFonts w:hint="eastAsia" w:asciiTheme="minorEastAsia" w:hAnsiTheme="minorEastAsia" w:eastAsiaTheme="minorEastAsia" w:cstheme="minorEastAsia"/>
                <w:sz w:val="21"/>
                <w:szCs w:val="21"/>
              </w:rPr>
              <w:t>存在的风险和机遇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应对这些风险，公司依据IS0 9001:2015《质量管理体系要求》，IS01400l:2015《环境管理体系要求及使用指南》；</w:t>
            </w:r>
            <w:r>
              <w:rPr>
                <w:rFonts w:hint="eastAsia" w:asciiTheme="minorEastAsia" w:hAnsiTheme="minorEastAsia" w:eastAsiaTheme="minorEastAsia" w:cstheme="minorEastAsia"/>
                <w:sz w:val="21"/>
                <w:szCs w:val="21"/>
                <w:lang w:val="en-US" w:eastAsia="zh-CN"/>
              </w:rPr>
              <w:t>ISO45001</w:t>
            </w:r>
            <w:r>
              <w:rPr>
                <w:rFonts w:hint="eastAsia" w:asciiTheme="minorEastAsia" w:hAnsiTheme="minorEastAsia" w:eastAsiaTheme="minorEastAsia" w:cstheme="minorEastAsia"/>
                <w:sz w:val="21"/>
                <w:szCs w:val="21"/>
              </w:rPr>
              <w:t>《职业健康安全管理体系要求》、GB/T50430-2017《工程建设施工企业质量管理规范》编制了《管理手册》、《程序文件》及《管理制度》。</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提供有《环境和职业健康安全运行管理制度》，内容包括环境因素、危险源的识别、评价、汇总；重要环境因素和不可接受风险的控制。</w:t>
            </w:r>
          </w:p>
          <w:p>
            <w:pPr>
              <w:spacing w:line="240" w:lineRule="auto"/>
              <w:ind w:firstLine="420" w:firstLineChars="200"/>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识别环境因素</w:t>
            </w:r>
            <w:r>
              <w:rPr>
                <w:rFonts w:hint="eastAsia" w:asciiTheme="minorEastAsia" w:hAnsiTheme="minorEastAsia" w:eastAsiaTheme="minorEastAsia" w:cstheme="minorEastAsia"/>
                <w:sz w:val="21"/>
                <w:szCs w:val="21"/>
                <w:lang w:val="en-US" w:eastAsia="zh-CN"/>
              </w:rPr>
              <w:t>有</w:t>
            </w:r>
            <w:r>
              <w:rPr>
                <w:rFonts w:hint="eastAsia" w:asciiTheme="minorEastAsia" w:hAnsiTheme="minorEastAsia" w:eastAsiaTheme="minorEastAsia" w:cstheme="minorEastAsia"/>
                <w:sz w:val="21"/>
                <w:szCs w:val="21"/>
              </w:rPr>
              <w:t>：潜在火灾、零件废弃、轮胎等固废、噪声排放、润滑油废弃、机油废弃等废液</w:t>
            </w:r>
            <w:r>
              <w:rPr>
                <w:rFonts w:hint="eastAsia" w:asciiTheme="minorEastAsia" w:hAnsiTheme="minorEastAsia" w:eastAsiaTheme="minorEastAsia" w:cstheme="minorEastAsia"/>
                <w:sz w:val="21"/>
                <w:szCs w:val="21"/>
                <w:lang w:eastAsia="zh-CN"/>
              </w:rPr>
              <w:t>、电的消耗、废灯管的排放</w:t>
            </w:r>
            <w:r>
              <w:rPr>
                <w:rFonts w:hint="eastAsia" w:asciiTheme="minorEastAsia" w:hAnsiTheme="minorEastAsia" w:eastAsiaTheme="minorEastAsia" w:cstheme="minorEastAsia"/>
                <w:sz w:val="21"/>
                <w:szCs w:val="21"/>
                <w:lang w:val="en-US" w:eastAsia="zh-CN"/>
              </w:rPr>
              <w:t>等；</w:t>
            </w:r>
          </w:p>
          <w:p>
            <w:pPr>
              <w:spacing w:line="24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危险源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线路老化/违规吸烟/物品不合理堆放/消防设施失效/人走未断电/总电源未切断等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起吊作业中，起重机械运行中摆动挤压碰撞人、砸伤人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未按要求操作/未佩戴劳动保护/跌落，不正确用电</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吊运现场不符合要求、操作不当、超负荷</w:t>
            </w:r>
            <w:r>
              <w:rPr>
                <w:rFonts w:hint="eastAsia" w:asciiTheme="minorEastAsia" w:hAnsiTheme="minorEastAsia" w:eastAsiaTheme="minorEastAsia" w:cstheme="minorEastAsia"/>
                <w:sz w:val="21"/>
                <w:szCs w:val="21"/>
                <w:lang w:val="en-US" w:eastAsia="zh-CN"/>
              </w:rPr>
              <w:t>等；</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评价重要环境因素有以如下：</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潜在火灾、零件废弃、轮胎等固废、噪声排放、润滑油废弃、机油废弃等废液</w:t>
            </w:r>
            <w:r>
              <w:rPr>
                <w:rFonts w:hint="eastAsia" w:asciiTheme="minorEastAsia" w:hAnsiTheme="minorEastAsia" w:eastAsiaTheme="minorEastAsia" w:cstheme="minorEastAsia"/>
                <w:sz w:val="21"/>
                <w:szCs w:val="21"/>
                <w:lang w:eastAsia="zh-CN"/>
              </w:rPr>
              <w:t>；</w:t>
            </w:r>
          </w:p>
          <w:p>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公司不可接受风险有以下：</w:t>
            </w:r>
          </w:p>
          <w:p>
            <w:pPr>
              <w:pStyle w:val="2"/>
              <w:spacing w:line="240" w:lineRule="auto"/>
              <w:ind w:firstLine="46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潜在火灾、挤压碰撞人、砸伤、重大人身伤亡事故（高处坠落，吊物坠落砸人、触电，爆炸）、起重机倾翻</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tcPr>
          <w:p>
            <w:pPr>
              <w:spacing w:line="24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目标及其实现的策划</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QEO6.2 </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J3.2</w:t>
            </w:r>
          </w:p>
          <w:p>
            <w:pPr>
              <w:spacing w:line="240" w:lineRule="auto"/>
              <w:rPr>
                <w:rFonts w:hint="eastAsia" w:asciiTheme="minorEastAsia" w:hAnsiTheme="minorEastAsia" w:eastAsiaTheme="minorEastAsia" w:cstheme="minorEastAsia"/>
                <w:b/>
                <w:sz w:val="21"/>
                <w:szCs w:val="21"/>
              </w:rPr>
            </w:pPr>
          </w:p>
        </w:tc>
        <w:tc>
          <w:tcPr>
            <w:tcW w:w="10962" w:type="dxa"/>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公司目标:工程一次性交验合格率≥95%；</w:t>
            </w:r>
          </w:p>
          <w:p>
            <w:pPr>
              <w:pStyle w:val="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工程验收一次交验合格率100%</w:t>
            </w:r>
          </w:p>
          <w:p>
            <w:pPr>
              <w:pStyle w:val="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顾客满意度≥95%</w:t>
            </w:r>
          </w:p>
          <w:p>
            <w:pPr>
              <w:pStyle w:val="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废弃物合理处置率100％</w:t>
            </w:r>
          </w:p>
          <w:p>
            <w:pPr>
              <w:pStyle w:val="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火灾事故为0</w:t>
            </w:r>
          </w:p>
          <w:p>
            <w:pPr>
              <w:pStyle w:val="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噪声污染投诉率为0；</w:t>
            </w:r>
          </w:p>
          <w:p>
            <w:pPr>
              <w:pStyle w:val="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重大人身伤亡事故为0;</w:t>
            </w:r>
          </w:p>
          <w:p>
            <w:pPr>
              <w:pStyle w:val="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轻伤事故 ≦2‰. </w:t>
            </w:r>
          </w:p>
          <w:p>
            <w:pPr>
              <w:pStyle w:val="10"/>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rPr>
              <w:t>查《目标考核表》2019年</w:t>
            </w:r>
            <w:r>
              <w:rPr>
                <w:rFonts w:hint="eastAsia" w:asciiTheme="minorEastAsia" w:hAnsiTheme="minorEastAsia" w:eastAsiaTheme="minorEastAsia" w:cstheme="minorEastAsia"/>
                <w:color w:val="auto"/>
                <w:kern w:val="2"/>
                <w:sz w:val="21"/>
                <w:szCs w:val="21"/>
                <w:lang w:val="en-US" w:eastAsia="zh-CN"/>
              </w:rPr>
              <w:t>8</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rPr>
              <w:t>月，对目标进行考核，</w:t>
            </w:r>
            <w:r>
              <w:rPr>
                <w:rFonts w:hint="eastAsia" w:asciiTheme="minorEastAsia" w:hAnsiTheme="minorEastAsia" w:eastAsiaTheme="minorEastAsia" w:cstheme="minorEastAsia"/>
                <w:color w:val="auto"/>
                <w:sz w:val="21"/>
                <w:szCs w:val="21"/>
              </w:rPr>
              <w:t>均达到目标，</w:t>
            </w:r>
          </w:p>
          <w:p>
            <w:pPr>
              <w:pStyle w:val="2"/>
              <w:jc w:val="lef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查环境、安全运行方案，查到《环境目标、指标和管理方案一览表》，</w:t>
            </w:r>
          </w:p>
          <w:p>
            <w:pPr>
              <w:pStyle w:val="2"/>
              <w:ind w:firstLine="460" w:firstLineChars="200"/>
              <w:jc w:val="lef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合规处理固体废弃物的指标为：废弃物分类处理率 100%；方法和措施为：（1）并组织施工人员进行培训学习；（2）对废弃物进行分类放置，集中收集。（3）可回收固废交环卫处或有资质的供应商处理，危险固废交与有资质的供应商回收处理。</w:t>
            </w:r>
          </w:p>
          <w:p>
            <w:pPr>
              <w:pStyle w:val="2"/>
              <w:jc w:val="lef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  火灾控制的指标为：发生率为0；方法和措施为：（1）按照《安全防火制度》、《安全操作规程》规定执行，并请相关人员参加培训；（2）施工现场配置适宜的消防器材；（3）易燃材料保存在易于保管的房间并有专人管理，且远离火源；（4）施工操作过程严格按照操作规程执行,维修请技术人员进行；（5）用电和临时用电遵照公司相关制度执行,严禁私自拉线；（6）加强对操作人员消防安全的教育和日常过程的消防安全检查，及时消防安全隐患；（7）进行技术、安全交底。                                                                                                                                                                                                                                           </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    机械伤害（起重机倾翻、挤压碰撞人、砸伤）为0，方法和措施为：（1）建立安全文明施工管理制度，并严格实施；按规定进行设备自检，特种设备执行特种设备报检；（2）设备进场时应验收，确保设备合格、安全。 （3）开机前须检查设备的防护设施是否完好，并检查自己佩戴的防护用品。 </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重大人身伤亡事故（高处坠落，吊物坠落砸人等）为0，方法和措施为：（1）建立作业规程，并组织施工人员学习；（2）加强对指挥、管理人员的监督，杜绝违章指挥；（3）施工人员要求高空作业必须配戴劳防用品； </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  查财务部2019年度，共投入资金 194912.2元，其中消防设施、劳保用品、投入约18263元，另外员工职业健康的体检费用、安全环保消防监测费用、员工劳保用品费用、防暑降温费用、员工社保的费用等。基本满足需要。见附件 。     </w:t>
            </w:r>
          </w:p>
          <w:p>
            <w:pPr>
              <w:pStyle w:val="2"/>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另查运行记录，满足方案要求，基本符合。</w:t>
            </w:r>
          </w:p>
          <w:p>
            <w:pPr>
              <w:pStyle w:val="2"/>
              <w:ind w:firstLine="460" w:firstLineChars="200"/>
              <w:rPr>
                <w:rFonts w:hint="eastAsia" w:asciiTheme="minorEastAsia" w:hAnsiTheme="minorEastAsia" w:eastAsiaTheme="minorEastAsia" w:cstheme="minorEastAsia"/>
                <w:sz w:val="21"/>
                <w:szCs w:val="21"/>
              </w:rPr>
            </w:pPr>
            <w:r>
              <w:rPr>
                <w:rFonts w:hint="eastAsia" w:cs="宋体" w:asciiTheme="minorEastAsia" w:hAnsiTheme="minorEastAsia" w:eastAsiaTheme="minorEastAsia"/>
                <w:szCs w:val="21"/>
                <w:lang w:val="en-US" w:eastAsia="zh-CN"/>
              </w:rPr>
              <w:t>考核人：办公室 审核：任利广    批准：莫利昆   2019.12.30</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tcPr>
          <w:p>
            <w:pPr>
              <w:adjustRightInd w:val="0"/>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变更的策划</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Q6.3 </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J3.4</w:t>
            </w:r>
          </w:p>
        </w:tc>
        <w:tc>
          <w:tcPr>
            <w:tcW w:w="10962" w:type="dxa"/>
          </w:tcPr>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公司要求：当公司质量、环境和职业健康安全管理体系变更时，应考虑：</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1.变更的目的及潜在后果；</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2.体系的完整性；</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3.资源的可获得性；</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4.责权的分配和再分配等因素。  </w:t>
            </w:r>
          </w:p>
          <w:p>
            <w:pPr>
              <w:widowControl/>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经查：暂无变更。</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809" w:type="dxa"/>
          </w:tcPr>
          <w:p>
            <w:pPr>
              <w:adjustRightInd w:val="0"/>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资源</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Q7.1.1 </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EO7.1</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J5.1</w:t>
            </w:r>
          </w:p>
        </w:tc>
        <w:tc>
          <w:tcPr>
            <w:tcW w:w="10962" w:type="dxa"/>
          </w:tcPr>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总经理对资源的配备比较重视，人力资源、装修设备、技术资料和工作环境等可满足有体系覆盖范围内的活动；</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09" w:type="dxa"/>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Q7.1.2 </w:t>
            </w:r>
          </w:p>
          <w:p>
            <w:pPr>
              <w:spacing w:line="24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J5.2</w:t>
            </w:r>
          </w:p>
        </w:tc>
        <w:tc>
          <w:tcPr>
            <w:tcW w:w="10962" w:type="dxa"/>
          </w:tcPr>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240" w:lineRule="auto"/>
              <w:ind w:left="0" w:right="1"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部门职责》、《岗位职务说明书》中总经理任职要求，具备一定管理经验，具有较高的综合素质和综合能力市场应变能力、熟悉公司经营管理、保证服务质量前提下、增加客户和服务项目，提高员工收入等；抽见：</w:t>
            </w:r>
            <w:r>
              <w:rPr>
                <w:rFonts w:hint="eastAsia" w:asciiTheme="minorEastAsia" w:hAnsiTheme="minorEastAsia" w:eastAsiaTheme="minorEastAsia" w:cstheme="minorEastAsia"/>
                <w:sz w:val="21"/>
                <w:szCs w:val="21"/>
                <w:lang w:val="en-US" w:eastAsia="zh-CN"/>
              </w:rPr>
              <w:t>经营部</w:t>
            </w:r>
            <w:r>
              <w:rPr>
                <w:rFonts w:hint="eastAsia" w:asciiTheme="minorEastAsia" w:hAnsiTheme="minorEastAsia" w:eastAsiaTheme="minorEastAsia" w:cstheme="minorEastAsia"/>
                <w:sz w:val="21"/>
                <w:szCs w:val="21"/>
              </w:rPr>
              <w:t>部经理：有较强的信息沟通能力、指挥能力和协调能力，熟悉市场行情、有把握客户需求的能力等。</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tcPr>
          <w:p>
            <w:pPr>
              <w:adjustRightInd w:val="0"/>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组织知识</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Q7.1.6 </w:t>
            </w:r>
          </w:p>
          <w:p>
            <w:pPr>
              <w:spacing w:line="240" w:lineRule="auto"/>
              <w:rPr>
                <w:rFonts w:hint="eastAsia" w:asciiTheme="minorEastAsia" w:hAnsiTheme="minorEastAsia" w:eastAsiaTheme="minorEastAsia" w:cstheme="minorEastAsia"/>
                <w:sz w:val="21"/>
                <w:szCs w:val="21"/>
              </w:rPr>
            </w:pPr>
          </w:p>
        </w:tc>
        <w:tc>
          <w:tcPr>
            <w:tcW w:w="10962" w:type="dxa"/>
          </w:tcPr>
          <w:p>
            <w:pPr>
              <w:tabs>
                <w:tab w:val="center" w:pos="3169"/>
              </w:tabs>
              <w:spacing w:line="240" w:lineRule="auto"/>
              <w:ind w:firstLine="420" w:firstLineChars="200"/>
              <w:jc w:val="left"/>
              <w:rPr>
                <w:rFonts w:hint="eastAsia"/>
              </w:rPr>
            </w:pPr>
            <w:r>
              <w:rPr>
                <w:rFonts w:hint="eastAsia" w:asciiTheme="minorEastAsia" w:hAnsiTheme="minorEastAsia" w:eastAsiaTheme="minorEastAsia" w:cstheme="minorEastAsia"/>
                <w:sz w:val="21"/>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编制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首件箱梁</w:t>
            </w:r>
            <w:r>
              <w:rPr>
                <w:rFonts w:hint="eastAsia" w:asciiTheme="minorEastAsia" w:hAnsiTheme="minorEastAsia" w:eastAsiaTheme="minorEastAsia" w:cstheme="minorEastAsia"/>
                <w:sz w:val="21"/>
                <w:szCs w:val="21"/>
                <w:lang w:val="en-US" w:eastAsia="zh-CN"/>
              </w:rPr>
              <w:t>吊装计划</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箱梁施工方案</w:t>
            </w:r>
            <w:r>
              <w:rPr>
                <w:rFonts w:hint="eastAsia" w:asciiTheme="minorEastAsia" w:hAnsiTheme="minorEastAsia" w:eastAsiaTheme="minorEastAsia" w:cstheme="minorEastAsia"/>
                <w:sz w:val="21"/>
                <w:szCs w:val="21"/>
                <w:lang w:eastAsia="zh-CN"/>
              </w:rPr>
              <w:t>》、《支座安装</w:t>
            </w:r>
            <w:r>
              <w:rPr>
                <w:rFonts w:hint="eastAsia" w:asciiTheme="minorEastAsia" w:hAnsiTheme="minorEastAsia" w:eastAsiaTheme="minorEastAsia" w:cstheme="minorEastAsia"/>
                <w:sz w:val="21"/>
                <w:szCs w:val="21"/>
                <w:lang w:val="en-US" w:eastAsia="zh-CN"/>
              </w:rPr>
              <w:t>方案</w:t>
            </w:r>
            <w:r>
              <w:rPr>
                <w:rFonts w:hint="eastAsia" w:asciiTheme="minorEastAsia" w:hAnsiTheme="minorEastAsia" w:eastAsiaTheme="minorEastAsia" w:cstheme="minorEastAsia"/>
                <w:sz w:val="21"/>
                <w:szCs w:val="21"/>
                <w:lang w:eastAsia="zh-CN"/>
              </w:rPr>
              <w:t>》、《箱梁架设危险源及控制措施》、《起梁、运梁安全措施》、</w:t>
            </w:r>
            <w:r>
              <w:rPr>
                <w:rFonts w:hint="eastAsia" w:asciiTheme="minorEastAsia" w:hAnsiTheme="minorEastAsia" w:eastAsiaTheme="minorEastAsia" w:cstheme="minorEastAsia"/>
                <w:sz w:val="21"/>
                <w:szCs w:val="21"/>
              </w:rPr>
              <w:t>文明施工保证措施及环境保护、质量管理制度、质量事故责任追究制度、施工机具管理制度等</w:t>
            </w:r>
            <w:r>
              <w:rPr>
                <w:rFonts w:hint="eastAsia" w:asciiTheme="minorEastAsia" w:hAnsiTheme="minorEastAsia" w:eastAsiaTheme="minorEastAsia" w:cstheme="minorEastAsia"/>
                <w:sz w:val="21"/>
                <w:szCs w:val="21"/>
                <w:lang w:eastAsia="zh-CN"/>
              </w:rPr>
              <w:t>；</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公司明确组织知识作为公司的重要资源，按内部文件或外来文件予以受控管理。</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809" w:type="dxa"/>
          </w:tcPr>
          <w:p>
            <w:pPr>
              <w:adjustRightInd w:val="0"/>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QEO7.4 </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J3.2.2/</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10.5.6</w:t>
            </w:r>
          </w:p>
        </w:tc>
        <w:tc>
          <w:tcPr>
            <w:tcW w:w="10962" w:type="dxa"/>
          </w:tcPr>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公司和部门负责人清楚公司及各部门与QES相关的内部沟通和外部信息交流的项目、内容等。如：公布、公开质量方针和质量目标、与客户（监理方）、外部供方等相关产品和服务的沟通等。</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--主要的事项内、外沟通均事先做出策划或规定，</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内容包括：沟通事项、沟通的职责、沟通对象、沟通内容、沟通时机、沟通方式等等。</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--通常的沟通方式包括但不限于：会议、文件、改善提案、通告、内部联络书、内部电脑网络、培训、拜访、交谈、提交报告等。</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--现场查看记录并口头交流确认：公司及行政部负责的相关内、外沟通效果基本满足要求。</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tcPr>
          <w:p>
            <w:pPr>
              <w:spacing w:line="240" w:lineRule="auto"/>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z w:val="21"/>
                <w:szCs w:val="21"/>
              </w:rPr>
              <w:t>监测、分析和评价总则；</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QEO9.1.1</w:t>
            </w:r>
          </w:p>
          <w:p>
            <w:pPr>
              <w:pStyle w:val="2"/>
              <w:spacing w:line="240" w:lineRule="auto"/>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lang w:val="de-DE"/>
              </w:rPr>
              <w:t>J:</w:t>
            </w:r>
            <w:r>
              <w:rPr>
                <w:rFonts w:hint="eastAsia" w:asciiTheme="minorEastAsia" w:hAnsiTheme="minorEastAsia" w:eastAsiaTheme="minorEastAsia" w:cstheme="minorEastAsia"/>
                <w:bCs w:val="0"/>
                <w:spacing w:val="0"/>
                <w:sz w:val="21"/>
                <w:szCs w:val="21"/>
              </w:rPr>
              <w:t>9.1.3/</w:t>
            </w:r>
          </w:p>
          <w:p>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val="0"/>
                <w:spacing w:val="0"/>
                <w:sz w:val="21"/>
                <w:szCs w:val="21"/>
                <w:lang w:val="de-DE"/>
              </w:rPr>
              <w:t>12.1</w:t>
            </w:r>
          </w:p>
        </w:tc>
        <w:tc>
          <w:tcPr>
            <w:tcW w:w="10962" w:type="dxa"/>
          </w:tcPr>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如：（1）《绩效测量和检测程序》</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bCs/>
                <w:spacing w:val="-20"/>
                <w:sz w:val="21"/>
                <w:szCs w:val="21"/>
              </w:rPr>
              <w:t>内部审核控制程序</w:t>
            </w:r>
            <w:r>
              <w:rPr>
                <w:rFonts w:hint="eastAsia" w:asciiTheme="minorEastAsia" w:hAnsiTheme="minorEastAsia" w:eastAsiaTheme="minorEastAsia" w:cstheme="minorEastAsia"/>
                <w:sz w:val="21"/>
                <w:szCs w:val="21"/>
              </w:rPr>
              <w:t>》</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（3）《管</w:t>
            </w:r>
            <w:r>
              <w:rPr>
                <w:rFonts w:hint="eastAsia" w:asciiTheme="minorEastAsia" w:hAnsiTheme="minorEastAsia" w:eastAsiaTheme="minorEastAsia" w:cstheme="minorEastAsia"/>
                <w:bCs/>
                <w:spacing w:val="-20"/>
                <w:sz w:val="21"/>
                <w:szCs w:val="21"/>
              </w:rPr>
              <w:t>理评审控制程序</w:t>
            </w:r>
            <w:r>
              <w:rPr>
                <w:rFonts w:hint="eastAsia" w:asciiTheme="minorEastAsia" w:hAnsiTheme="minorEastAsia" w:eastAsiaTheme="minorEastAsia" w:cstheme="minorEastAsia"/>
                <w:sz w:val="21"/>
                <w:szCs w:val="21"/>
              </w:rPr>
              <w:t>》</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bCs/>
                <w:spacing w:val="-20"/>
                <w:sz w:val="21"/>
                <w:szCs w:val="21"/>
              </w:rPr>
              <w:t>应急准备和响应控制程序</w:t>
            </w:r>
            <w:r>
              <w:rPr>
                <w:rFonts w:hint="eastAsia" w:asciiTheme="minorEastAsia" w:hAnsiTheme="minorEastAsia" w:eastAsiaTheme="minorEastAsia" w:cstheme="minorEastAsia"/>
                <w:sz w:val="21"/>
                <w:szCs w:val="21"/>
              </w:rPr>
              <w:t>》</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bCs/>
                <w:spacing w:val="-20"/>
                <w:sz w:val="21"/>
                <w:szCs w:val="21"/>
              </w:rPr>
              <w:t>合规性评价控制程序</w:t>
            </w:r>
            <w:r>
              <w:rPr>
                <w:rFonts w:hint="eastAsia" w:asciiTheme="minorEastAsia" w:hAnsiTheme="minorEastAsia" w:eastAsiaTheme="minorEastAsia" w:cstheme="minorEastAsia"/>
                <w:sz w:val="21"/>
                <w:szCs w:val="21"/>
              </w:rPr>
              <w:t>》</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tcPr>
          <w:p>
            <w:pPr>
              <w:adjustRightInd w:val="0"/>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QEO9.3 </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J12.3/</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12.4</w:t>
            </w:r>
          </w:p>
        </w:tc>
        <w:tc>
          <w:tcPr>
            <w:tcW w:w="10962" w:type="dxa"/>
          </w:tcPr>
          <w:p>
            <w:pPr>
              <w:tabs>
                <w:tab w:val="center" w:pos="3169"/>
              </w:tabs>
              <w:spacing w:line="240" w:lineRule="auto"/>
              <w:jc w:val="left"/>
              <w:rPr>
                <w:rFonts w:hint="eastAsia"/>
              </w:rPr>
            </w:pPr>
            <w:r>
              <w:rPr>
                <w:rFonts w:hint="eastAsia"/>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240" w:lineRule="auto"/>
              <w:jc w:val="left"/>
              <w:rPr>
                <w:rFonts w:hint="eastAsia"/>
              </w:rPr>
            </w:pPr>
            <w:r>
              <w:rPr>
                <w:rFonts w:hint="eastAsia"/>
              </w:rPr>
              <w:t>评审时间：2019年</w:t>
            </w:r>
            <w:r>
              <w:rPr>
                <w:rFonts w:hint="eastAsia"/>
                <w:lang w:val="en-US" w:eastAsia="zh-CN"/>
              </w:rPr>
              <w:t>10</w:t>
            </w:r>
            <w:r>
              <w:rPr>
                <w:rFonts w:hint="eastAsia"/>
              </w:rPr>
              <w:t>月</w:t>
            </w:r>
            <w:r>
              <w:rPr>
                <w:rFonts w:hint="eastAsia"/>
                <w:lang w:val="en-US" w:eastAsia="zh-CN"/>
              </w:rPr>
              <w:t>20</w:t>
            </w:r>
            <w:r>
              <w:rPr>
                <w:rFonts w:hint="eastAsia"/>
              </w:rPr>
              <w:t>日</w:t>
            </w:r>
          </w:p>
          <w:p>
            <w:pPr>
              <w:pStyle w:val="2"/>
              <w:spacing w:line="240" w:lineRule="auto"/>
              <w:jc w:val="left"/>
              <w:rPr>
                <w:rFonts w:hint="eastAsia"/>
              </w:rPr>
            </w:pPr>
            <w:r>
              <w:rPr>
                <w:rFonts w:hint="eastAsia"/>
              </w:rPr>
              <w:t>评审目的：对公司质量、环境及职业健康安全管理体系适宜性和有效性进行分析和评价</w:t>
            </w:r>
          </w:p>
          <w:p>
            <w:pPr>
              <w:tabs>
                <w:tab w:val="center" w:pos="3169"/>
              </w:tabs>
              <w:spacing w:line="240" w:lineRule="auto"/>
              <w:jc w:val="left"/>
              <w:rPr>
                <w:rFonts w:hint="eastAsia"/>
                <w:lang w:val="en-US" w:eastAsia="zh-CN"/>
              </w:rPr>
            </w:pPr>
            <w:r>
              <w:rPr>
                <w:rFonts w:hint="eastAsia"/>
              </w:rPr>
              <w:t>主持人：总经理</w:t>
            </w:r>
            <w:r>
              <w:rPr>
                <w:rFonts w:hint="eastAsia"/>
                <w:lang w:val="en-US" w:eastAsia="zh-CN"/>
              </w:rPr>
              <w:t>莫利昆</w:t>
            </w:r>
          </w:p>
          <w:p>
            <w:pPr>
              <w:tabs>
                <w:tab w:val="center" w:pos="3169"/>
              </w:tabs>
              <w:spacing w:line="240" w:lineRule="auto"/>
              <w:jc w:val="left"/>
              <w:rPr>
                <w:rFonts w:hint="eastAsia"/>
              </w:rPr>
            </w:pPr>
            <w:r>
              <w:rPr>
                <w:rFonts w:hint="eastAsia"/>
              </w:rPr>
              <w:t>参加人员：各部门负责人，内审员</w:t>
            </w:r>
          </w:p>
          <w:p>
            <w:pPr>
              <w:spacing w:line="240" w:lineRule="auto"/>
              <w:jc w:val="left"/>
              <w:rPr>
                <w:rFonts w:hint="eastAsia"/>
              </w:rPr>
            </w:pPr>
            <w:r>
              <w:rPr>
                <w:rFonts w:hint="eastAsia"/>
              </w:rPr>
              <w:t>评审依据：</w:t>
            </w:r>
          </w:p>
          <w:p>
            <w:pPr>
              <w:numPr>
                <w:ilvl w:val="0"/>
                <w:numId w:val="1"/>
              </w:numPr>
              <w:spacing w:line="240" w:lineRule="auto"/>
              <w:ind w:left="936"/>
              <w:jc w:val="left"/>
              <w:rPr>
                <w:rFonts w:hint="eastAsia"/>
              </w:rPr>
            </w:pPr>
            <w:r>
              <w:rPr>
                <w:rFonts w:hint="eastAsia"/>
              </w:rPr>
              <w:t>ISO9001：2015、ISO14001：2015、ISO45000及GB/T50430：2017标准</w:t>
            </w:r>
          </w:p>
          <w:p>
            <w:pPr>
              <w:numPr>
                <w:ilvl w:val="0"/>
                <w:numId w:val="1"/>
              </w:numPr>
              <w:spacing w:line="240" w:lineRule="auto"/>
              <w:ind w:left="936"/>
              <w:jc w:val="left"/>
              <w:rPr>
                <w:rFonts w:hint="eastAsia"/>
              </w:rPr>
            </w:pPr>
            <w:r>
              <w:rPr>
                <w:rFonts w:hint="eastAsia"/>
              </w:rPr>
              <w:t>公司的手册和程序文件</w:t>
            </w:r>
          </w:p>
          <w:p>
            <w:pPr>
              <w:numPr>
                <w:ilvl w:val="0"/>
                <w:numId w:val="1"/>
              </w:numPr>
              <w:spacing w:line="240" w:lineRule="auto"/>
              <w:ind w:left="936"/>
              <w:jc w:val="left"/>
              <w:rPr>
                <w:rFonts w:hint="eastAsia"/>
              </w:rPr>
            </w:pPr>
            <w:r>
              <w:rPr>
                <w:rFonts w:hint="eastAsia"/>
              </w:rPr>
              <w:t>相关的法律法规</w:t>
            </w:r>
          </w:p>
          <w:p>
            <w:pPr>
              <w:pStyle w:val="2"/>
              <w:spacing w:line="240" w:lineRule="auto"/>
              <w:jc w:val="left"/>
              <w:rPr>
                <w:rFonts w:hint="eastAsia"/>
              </w:rPr>
            </w:pPr>
            <w:r>
              <w:rPr>
                <w:rFonts w:hint="eastAsia"/>
              </w:rPr>
              <w:t>与顾客有签定的合同</w:t>
            </w:r>
          </w:p>
          <w:p>
            <w:pPr>
              <w:tabs>
                <w:tab w:val="center" w:pos="3169"/>
              </w:tabs>
              <w:spacing w:line="240" w:lineRule="auto"/>
              <w:jc w:val="left"/>
              <w:rPr>
                <w:rFonts w:hint="eastAsia"/>
              </w:rPr>
            </w:pPr>
            <w:r>
              <w:rPr>
                <w:rFonts w:hint="eastAsia"/>
              </w:rPr>
              <w:t>评审输入内容：</w:t>
            </w:r>
          </w:p>
          <w:p>
            <w:pPr>
              <w:numPr>
                <w:ilvl w:val="0"/>
                <w:numId w:val="2"/>
              </w:numPr>
              <w:spacing w:line="240" w:lineRule="auto"/>
              <w:rPr>
                <w:rFonts w:hint="eastAsia"/>
              </w:rPr>
            </w:pPr>
            <w:r>
              <w:rPr>
                <w:rFonts w:hint="eastAsia"/>
              </w:rPr>
              <w:t>企业方针和目标是否体现了最高管理者的宗旨和方向，是否被全体员工理解并付诸实施；</w:t>
            </w:r>
          </w:p>
          <w:p>
            <w:pPr>
              <w:numPr>
                <w:ilvl w:val="0"/>
                <w:numId w:val="2"/>
              </w:numPr>
              <w:spacing w:line="240" w:lineRule="auto"/>
              <w:rPr>
                <w:rFonts w:hint="eastAsia"/>
              </w:rPr>
            </w:pPr>
            <w:r>
              <w:rPr>
                <w:rFonts w:hint="eastAsia"/>
              </w:rPr>
              <w:t>公司管理体系的有效性、充分性、适宜性；</w:t>
            </w:r>
          </w:p>
          <w:p>
            <w:pPr>
              <w:numPr>
                <w:ilvl w:val="0"/>
                <w:numId w:val="2"/>
              </w:numPr>
              <w:spacing w:line="240" w:lineRule="auto"/>
              <w:rPr>
                <w:rFonts w:hint="eastAsia"/>
              </w:rPr>
            </w:pPr>
            <w:r>
              <w:rPr>
                <w:rFonts w:hint="eastAsia"/>
              </w:rPr>
              <w:t>企业的组织机构和资源需求及满足要求的程度；</w:t>
            </w:r>
          </w:p>
          <w:p>
            <w:pPr>
              <w:numPr>
                <w:ilvl w:val="0"/>
                <w:numId w:val="2"/>
              </w:numPr>
              <w:spacing w:line="240" w:lineRule="auto"/>
              <w:rPr>
                <w:rFonts w:hint="eastAsia"/>
              </w:rPr>
            </w:pPr>
            <w:r>
              <w:rPr>
                <w:rFonts w:hint="eastAsia"/>
              </w:rPr>
              <w:t>产品的完成情况及趋势分析；</w:t>
            </w:r>
          </w:p>
          <w:p>
            <w:pPr>
              <w:numPr>
                <w:ilvl w:val="0"/>
                <w:numId w:val="2"/>
              </w:numPr>
              <w:spacing w:line="240" w:lineRule="auto"/>
              <w:rPr>
                <w:rFonts w:hint="eastAsia"/>
              </w:rPr>
            </w:pPr>
            <w:r>
              <w:rPr>
                <w:rFonts w:hint="eastAsia"/>
              </w:rPr>
              <w:t>顾客反馈：包括意见、建议、投诉、抱怨等；</w:t>
            </w:r>
          </w:p>
          <w:p>
            <w:pPr>
              <w:numPr>
                <w:ilvl w:val="0"/>
                <w:numId w:val="2"/>
              </w:numPr>
              <w:spacing w:line="240" w:lineRule="auto"/>
              <w:rPr>
                <w:rFonts w:hint="eastAsia"/>
              </w:rPr>
            </w:pPr>
            <w:r>
              <w:rPr>
                <w:rFonts w:hint="eastAsia"/>
              </w:rPr>
              <w:t>有关的纠正和预防措施及其实施情况改进的意见；</w:t>
            </w:r>
          </w:p>
          <w:p>
            <w:pPr>
              <w:numPr>
                <w:ilvl w:val="0"/>
                <w:numId w:val="2"/>
              </w:numPr>
              <w:spacing w:line="240" w:lineRule="auto"/>
              <w:rPr>
                <w:rFonts w:hint="eastAsia"/>
              </w:rPr>
            </w:pPr>
            <w:r>
              <w:rPr>
                <w:rFonts w:hint="eastAsia"/>
              </w:rPr>
              <w:t>施工和服务满足要求的程度；</w:t>
            </w:r>
          </w:p>
          <w:p>
            <w:pPr>
              <w:numPr>
                <w:ilvl w:val="0"/>
                <w:numId w:val="2"/>
              </w:numPr>
              <w:spacing w:line="240" w:lineRule="auto"/>
              <w:rPr>
                <w:rFonts w:hint="eastAsia"/>
              </w:rPr>
            </w:pPr>
            <w:r>
              <w:rPr>
                <w:rFonts w:hint="eastAsia"/>
              </w:rPr>
              <w:t>工程、管理活动状况及发展趋势；</w:t>
            </w:r>
          </w:p>
          <w:p>
            <w:pPr>
              <w:numPr>
                <w:ilvl w:val="0"/>
                <w:numId w:val="2"/>
              </w:numPr>
              <w:spacing w:line="240" w:lineRule="auto"/>
              <w:rPr>
                <w:rFonts w:hint="eastAsia"/>
              </w:rPr>
            </w:pPr>
            <w:r>
              <w:rPr>
                <w:rFonts w:hint="eastAsia"/>
              </w:rPr>
              <w:t>潜在问题的预测；</w:t>
            </w:r>
          </w:p>
          <w:p>
            <w:pPr>
              <w:numPr>
                <w:ilvl w:val="0"/>
                <w:numId w:val="2"/>
              </w:numPr>
              <w:spacing w:line="240" w:lineRule="auto"/>
              <w:jc w:val="left"/>
              <w:rPr>
                <w:rFonts w:hint="eastAsia"/>
              </w:rPr>
            </w:pPr>
            <w:r>
              <w:rPr>
                <w:rFonts w:hint="eastAsia"/>
              </w:rPr>
              <w:t>工程、管理水平改进和提高的机会；</w:t>
            </w:r>
          </w:p>
          <w:p>
            <w:pPr>
              <w:numPr>
                <w:ilvl w:val="0"/>
                <w:numId w:val="2"/>
              </w:numPr>
              <w:spacing w:line="240" w:lineRule="auto"/>
              <w:jc w:val="left"/>
              <w:rPr>
                <w:rFonts w:hint="eastAsia"/>
              </w:rPr>
            </w:pPr>
            <w:r>
              <w:rPr>
                <w:rFonts w:hint="eastAsia"/>
              </w:rPr>
              <w:t>危险源、重大环境因素控制情况</w:t>
            </w:r>
          </w:p>
          <w:p>
            <w:pPr>
              <w:numPr>
                <w:ilvl w:val="0"/>
                <w:numId w:val="2"/>
              </w:numPr>
              <w:spacing w:line="240" w:lineRule="auto"/>
              <w:jc w:val="left"/>
              <w:rPr>
                <w:rFonts w:hint="eastAsia"/>
              </w:rPr>
            </w:pPr>
            <w:r>
              <w:rPr>
                <w:rFonts w:hint="eastAsia"/>
              </w:rPr>
              <w:t>合规性评价的情况</w:t>
            </w:r>
          </w:p>
          <w:p>
            <w:pPr>
              <w:spacing w:line="240" w:lineRule="auto"/>
              <w:rPr>
                <w:rFonts w:hint="eastAsia"/>
              </w:rPr>
            </w:pPr>
            <w:r>
              <w:rPr>
                <w:rFonts w:hint="eastAsia"/>
              </w:rPr>
              <w:t>各部门提交</w:t>
            </w:r>
            <w:r>
              <w:rPr>
                <w:rFonts w:hint="eastAsia"/>
                <w:lang w:val="en-US" w:eastAsia="zh-CN"/>
              </w:rPr>
              <w:t>了</w:t>
            </w:r>
            <w:r>
              <w:rPr>
                <w:rFonts w:hint="eastAsia"/>
              </w:rPr>
              <w:t>资料</w:t>
            </w:r>
            <w:r>
              <w:rPr>
                <w:rFonts w:hint="eastAsia"/>
                <w:lang w:eastAsia="zh-CN"/>
              </w:rPr>
              <w:t>，</w:t>
            </w:r>
            <w:r>
              <w:rPr>
                <w:rFonts w:hint="eastAsia"/>
                <w:lang w:val="en-US" w:eastAsia="zh-CN"/>
              </w:rPr>
              <w:t>进行了会议讨论，</w:t>
            </w:r>
            <w:r>
              <w:rPr>
                <w:rFonts w:hint="eastAsia"/>
              </w:rPr>
              <w:t xml:space="preserve"> </w:t>
            </w:r>
          </w:p>
          <w:p>
            <w:pPr>
              <w:spacing w:line="240" w:lineRule="auto"/>
              <w:jc w:val="left"/>
              <w:rPr>
                <w:rFonts w:hint="eastAsia"/>
              </w:rPr>
            </w:pPr>
            <w:r>
              <w:rPr>
                <w:rFonts w:hint="eastAsia"/>
              </w:rPr>
              <w:t xml:space="preserve">1 质量/环境/安全管理体系有效性和适宜性及需要调整的建议。 </w:t>
            </w:r>
          </w:p>
          <w:p>
            <w:pPr>
              <w:spacing w:line="240" w:lineRule="auto"/>
              <w:jc w:val="left"/>
              <w:rPr>
                <w:rFonts w:hint="eastAsia"/>
              </w:rPr>
            </w:pPr>
            <w:r>
              <w:rPr>
                <w:rFonts w:hint="eastAsia"/>
              </w:rPr>
              <w:t xml:space="preserve">2 注意导致 QEO 问题的趋势，尤其是经常出现问题的领域。 </w:t>
            </w:r>
          </w:p>
          <w:p>
            <w:pPr>
              <w:spacing w:line="240" w:lineRule="auto"/>
              <w:jc w:val="left"/>
              <w:rPr>
                <w:rFonts w:hint="eastAsia"/>
              </w:rPr>
            </w:pPr>
            <w:r>
              <w:rPr>
                <w:rFonts w:hint="eastAsia"/>
              </w:rPr>
              <w:t xml:space="preserve">3 市场信息、顾客和相关方意见的反馈。 </w:t>
            </w:r>
          </w:p>
          <w:p>
            <w:pPr>
              <w:spacing w:line="240" w:lineRule="auto"/>
              <w:jc w:val="left"/>
              <w:rPr>
                <w:rFonts w:hint="eastAsia"/>
              </w:rPr>
            </w:pPr>
            <w:r>
              <w:rPr>
                <w:rFonts w:hint="eastAsia"/>
              </w:rPr>
              <w:t>4.资源的充分性；</w:t>
            </w:r>
          </w:p>
          <w:p>
            <w:pPr>
              <w:tabs>
                <w:tab w:val="center" w:pos="3169"/>
              </w:tabs>
              <w:spacing w:line="240" w:lineRule="auto"/>
              <w:jc w:val="left"/>
              <w:rPr>
                <w:rFonts w:hint="eastAsia"/>
              </w:rPr>
            </w:pPr>
            <w:r>
              <w:rPr>
                <w:rFonts w:hint="eastAsia"/>
              </w:rPr>
              <w:t>评审输出内容</w:t>
            </w:r>
            <w:r>
              <w:rPr>
                <w:rFonts w:hint="eastAsia"/>
                <w:lang w:eastAsia="zh-CN"/>
              </w:rPr>
              <w:t>，</w:t>
            </w:r>
            <w:r>
              <w:rPr>
                <w:rFonts w:hint="eastAsia"/>
                <w:lang w:val="en-US" w:eastAsia="zh-CN"/>
              </w:rPr>
              <w:t>并</w:t>
            </w:r>
            <w:r>
              <w:rPr>
                <w:rFonts w:hint="eastAsia"/>
              </w:rPr>
              <w:t>评审结论：</w:t>
            </w:r>
          </w:p>
          <w:p>
            <w:pPr>
              <w:spacing w:line="240" w:lineRule="auto"/>
              <w:ind w:firstLine="435"/>
              <w:rPr>
                <w:rFonts w:hint="eastAsia"/>
              </w:rPr>
            </w:pPr>
            <w:r>
              <w:rPr>
                <w:rFonts w:hint="eastAsia"/>
              </w:rPr>
              <w:t>公司质量、环境及职业健康安全管理体系能适应市场变化和公司现状，管理体系运行有效。方针、目标与公司的经营宗旨相适应。</w:t>
            </w:r>
          </w:p>
          <w:p>
            <w:pPr>
              <w:tabs>
                <w:tab w:val="center" w:pos="3169"/>
              </w:tabs>
              <w:spacing w:line="240" w:lineRule="auto"/>
              <w:ind w:firstLine="420" w:firstLineChars="200"/>
              <w:jc w:val="left"/>
              <w:rPr>
                <w:rFonts w:hint="default"/>
                <w:lang w:val="en-US" w:eastAsia="zh-CN"/>
              </w:rPr>
            </w:pPr>
            <w:r>
              <w:rPr>
                <w:rFonts w:hint="eastAsia"/>
                <w:lang w:val="en-US" w:eastAsia="zh-CN"/>
              </w:rPr>
              <w:t>同时提出</w:t>
            </w:r>
            <w:r>
              <w:rPr>
                <w:rFonts w:hint="eastAsia"/>
              </w:rPr>
              <w:t>改进的建议</w:t>
            </w:r>
            <w:r>
              <w:rPr>
                <w:rFonts w:hint="eastAsia"/>
                <w:lang w:eastAsia="zh-CN"/>
              </w:rPr>
              <w:t>。</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809" w:type="dxa"/>
          </w:tcPr>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改进 总则</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不符合和纠正措施</w:t>
            </w:r>
          </w:p>
          <w:p>
            <w:pPr>
              <w:adjustRightInd w:val="0"/>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持续改进</w:t>
            </w:r>
          </w:p>
        </w:tc>
        <w:tc>
          <w:tcPr>
            <w:tcW w:w="1134" w:type="dxa"/>
          </w:tcPr>
          <w:p>
            <w:pPr>
              <w:tabs>
                <w:tab w:val="center" w:pos="3169"/>
              </w:tabs>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QEO10.1;</w:t>
            </w:r>
          </w:p>
          <w:p>
            <w:pPr>
              <w:tabs>
                <w:tab w:val="center" w:pos="3169"/>
              </w:tabs>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w:t>
            </w:r>
          </w:p>
          <w:p>
            <w:pPr>
              <w:tabs>
                <w:tab w:val="center" w:pos="3169"/>
              </w:tabs>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10.3； </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J12.5</w:t>
            </w:r>
          </w:p>
        </w:tc>
        <w:tc>
          <w:tcPr>
            <w:tcW w:w="10962" w:type="dxa"/>
          </w:tcPr>
          <w:p>
            <w:pPr>
              <w:tabs>
                <w:tab w:val="center" w:pos="3169"/>
              </w:tabs>
              <w:spacing w:line="240" w:lineRule="auto"/>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系列程序文件《管理评审制度》、《内审管理制度》、《监视和测量管理制度》《客户回访》《满意度调查》、《纠正措施管理制度》及《绩效考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公司制定《绩效考核管理制度》及《纠正措施管理制度》实施纠正措施，消除客户投诉的原因，以防止其再发生。</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对于客户投诉管理和机制健全。</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主要按策划的管理手册、管理制度等实施运行，主要采用内审、管理评审、数据分析、纠正和预防措施、质量方针和目标等来实现对质量、环境和职业健康安全管理体系的改进，另外主要通过日常工作中发现的问题及时予以调整解决来实现。</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bl>
    <w:p>
      <w:pPr>
        <w:pStyle w:val="8"/>
        <w:rPr>
          <w:rFonts w:asciiTheme="minorEastAsia" w:hAnsiTheme="minorEastAsia" w:eastAsiaTheme="minorEastAsia"/>
          <w:sz w:val="21"/>
          <w:szCs w:val="21"/>
        </w:rPr>
      </w:pPr>
      <w:r>
        <w:rPr>
          <w:rFonts w:hint="eastAsia" w:asciiTheme="minorEastAsia" w:hAnsiTheme="minorEastAsia" w:eastAsiaTheme="minorEastAsia"/>
          <w:sz w:val="21"/>
          <w:szCs w:val="21"/>
        </w:rPr>
        <w:t>说明：不符合标注N</w:t>
      </w: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934"/>
        </w:tabs>
        <w:ind w:left="934" w:hanging="454"/>
      </w:pPr>
      <w:rPr>
        <w:rFonts w:hint="eastAsia"/>
      </w:rPr>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4"/>
      <w:numFmt w:val="decimal"/>
      <w:lvlText w:val="%4、"/>
      <w:lvlJc w:val="left"/>
      <w:pPr>
        <w:tabs>
          <w:tab w:val="left" w:pos="2100"/>
        </w:tabs>
        <w:ind w:left="2100" w:hanging="360"/>
      </w:pPr>
      <w:rPr>
        <w:rFonts w:hint="default"/>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E"/>
    <w:multiLevelType w:val="multilevel"/>
    <w:tmpl w:val="0000000E"/>
    <w:lvl w:ilvl="0" w:tentative="0">
      <w:start w:val="1"/>
      <w:numFmt w:val="decimal"/>
      <w:lvlText w:val="%1)"/>
      <w:lvlJc w:val="left"/>
      <w:pPr>
        <w:tabs>
          <w:tab w:val="left" w:pos="934"/>
        </w:tabs>
        <w:ind w:left="934" w:hanging="454"/>
      </w:pPr>
      <w:rPr>
        <w:rFonts w:hint="eastAsia"/>
      </w:rPr>
    </w:lvl>
    <w:lvl w:ilvl="1" w:tentative="0">
      <w:start w:val="1"/>
      <w:numFmt w:val="decimal"/>
      <w:lvlText w:val="%2)"/>
      <w:lvlJc w:val="left"/>
      <w:pPr>
        <w:tabs>
          <w:tab w:val="left" w:pos="907"/>
        </w:tabs>
        <w:ind w:left="907" w:hanging="453"/>
      </w:pPr>
      <w:rPr>
        <w:rFonts w:hint="eastAsia"/>
      </w:rPr>
    </w:lvl>
    <w:lvl w:ilvl="2" w:tentative="0">
      <w:start w:val="7"/>
      <w:numFmt w:val="japaneseCounting"/>
      <w:lvlText w:val="(%3)"/>
      <w:lvlJc w:val="left"/>
      <w:pPr>
        <w:tabs>
          <w:tab w:val="left" w:pos="1890"/>
        </w:tabs>
        <w:ind w:left="1890" w:hanging="570"/>
      </w:pPr>
      <w:rPr>
        <w:rFonts w:hint="eastAsia"/>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43A"/>
    <w:rsid w:val="000237F6"/>
    <w:rsid w:val="00032D74"/>
    <w:rsid w:val="0003373A"/>
    <w:rsid w:val="000400E2"/>
    <w:rsid w:val="00045345"/>
    <w:rsid w:val="00062E46"/>
    <w:rsid w:val="000662F8"/>
    <w:rsid w:val="0008301E"/>
    <w:rsid w:val="000940BC"/>
    <w:rsid w:val="000A3B9C"/>
    <w:rsid w:val="00106047"/>
    <w:rsid w:val="00107DD6"/>
    <w:rsid w:val="00110C8D"/>
    <w:rsid w:val="00115D94"/>
    <w:rsid w:val="00120A97"/>
    <w:rsid w:val="001221F8"/>
    <w:rsid w:val="0012401D"/>
    <w:rsid w:val="001353D2"/>
    <w:rsid w:val="00137B93"/>
    <w:rsid w:val="0014585A"/>
    <w:rsid w:val="00160A72"/>
    <w:rsid w:val="00177AC9"/>
    <w:rsid w:val="001A2D7F"/>
    <w:rsid w:val="001C54FD"/>
    <w:rsid w:val="001C6CFE"/>
    <w:rsid w:val="001D2895"/>
    <w:rsid w:val="001E6484"/>
    <w:rsid w:val="001E762D"/>
    <w:rsid w:val="00203218"/>
    <w:rsid w:val="00217C46"/>
    <w:rsid w:val="002262F5"/>
    <w:rsid w:val="00253709"/>
    <w:rsid w:val="00271C42"/>
    <w:rsid w:val="0027366E"/>
    <w:rsid w:val="002922A7"/>
    <w:rsid w:val="002939AD"/>
    <w:rsid w:val="002976D6"/>
    <w:rsid w:val="002A5DDD"/>
    <w:rsid w:val="002B123F"/>
    <w:rsid w:val="002D0BA2"/>
    <w:rsid w:val="002E1DED"/>
    <w:rsid w:val="002E76F4"/>
    <w:rsid w:val="002F5C86"/>
    <w:rsid w:val="00300515"/>
    <w:rsid w:val="0033085D"/>
    <w:rsid w:val="00337922"/>
    <w:rsid w:val="00340867"/>
    <w:rsid w:val="00344926"/>
    <w:rsid w:val="00345042"/>
    <w:rsid w:val="00354A83"/>
    <w:rsid w:val="00374D05"/>
    <w:rsid w:val="00380837"/>
    <w:rsid w:val="00381625"/>
    <w:rsid w:val="00382630"/>
    <w:rsid w:val="00384157"/>
    <w:rsid w:val="003A198A"/>
    <w:rsid w:val="003C2191"/>
    <w:rsid w:val="003C58ED"/>
    <w:rsid w:val="003E54B5"/>
    <w:rsid w:val="003F0AEC"/>
    <w:rsid w:val="003F22B2"/>
    <w:rsid w:val="003F6889"/>
    <w:rsid w:val="00404B05"/>
    <w:rsid w:val="00407D95"/>
    <w:rsid w:val="00410914"/>
    <w:rsid w:val="00414731"/>
    <w:rsid w:val="00415AF6"/>
    <w:rsid w:val="0042141C"/>
    <w:rsid w:val="00467FCE"/>
    <w:rsid w:val="00476DDB"/>
    <w:rsid w:val="0048095C"/>
    <w:rsid w:val="004A799A"/>
    <w:rsid w:val="004B2C89"/>
    <w:rsid w:val="004F2167"/>
    <w:rsid w:val="004F359C"/>
    <w:rsid w:val="00533B7D"/>
    <w:rsid w:val="00536930"/>
    <w:rsid w:val="00562C09"/>
    <w:rsid w:val="00564E53"/>
    <w:rsid w:val="005653AF"/>
    <w:rsid w:val="0057075D"/>
    <w:rsid w:val="00587A05"/>
    <w:rsid w:val="005C7ABB"/>
    <w:rsid w:val="005D40B8"/>
    <w:rsid w:val="005D5659"/>
    <w:rsid w:val="005F085A"/>
    <w:rsid w:val="005F5281"/>
    <w:rsid w:val="00600C20"/>
    <w:rsid w:val="00611AB6"/>
    <w:rsid w:val="006377EE"/>
    <w:rsid w:val="00644FE2"/>
    <w:rsid w:val="00655287"/>
    <w:rsid w:val="0067640C"/>
    <w:rsid w:val="00684087"/>
    <w:rsid w:val="00684BAD"/>
    <w:rsid w:val="006A0A53"/>
    <w:rsid w:val="006A34E8"/>
    <w:rsid w:val="006B1140"/>
    <w:rsid w:val="006B64BD"/>
    <w:rsid w:val="006B7D6F"/>
    <w:rsid w:val="006C0D26"/>
    <w:rsid w:val="006E2B4D"/>
    <w:rsid w:val="006E3F69"/>
    <w:rsid w:val="006E678B"/>
    <w:rsid w:val="00710D78"/>
    <w:rsid w:val="00711193"/>
    <w:rsid w:val="00726297"/>
    <w:rsid w:val="00730C69"/>
    <w:rsid w:val="00730E32"/>
    <w:rsid w:val="0076534F"/>
    <w:rsid w:val="007757F3"/>
    <w:rsid w:val="007766F5"/>
    <w:rsid w:val="00795AE7"/>
    <w:rsid w:val="007A68F2"/>
    <w:rsid w:val="007B55DD"/>
    <w:rsid w:val="007C593E"/>
    <w:rsid w:val="007D200E"/>
    <w:rsid w:val="007D7D7A"/>
    <w:rsid w:val="007E6AEB"/>
    <w:rsid w:val="007E7835"/>
    <w:rsid w:val="008002DD"/>
    <w:rsid w:val="008031F0"/>
    <w:rsid w:val="00804646"/>
    <w:rsid w:val="00823A54"/>
    <w:rsid w:val="00854464"/>
    <w:rsid w:val="00863870"/>
    <w:rsid w:val="008910F9"/>
    <w:rsid w:val="008945C6"/>
    <w:rsid w:val="008973EE"/>
    <w:rsid w:val="008A3825"/>
    <w:rsid w:val="008C18C0"/>
    <w:rsid w:val="008C59EF"/>
    <w:rsid w:val="00904BAD"/>
    <w:rsid w:val="00904C9E"/>
    <w:rsid w:val="009213FB"/>
    <w:rsid w:val="00931DA3"/>
    <w:rsid w:val="0093798A"/>
    <w:rsid w:val="00941584"/>
    <w:rsid w:val="009435A1"/>
    <w:rsid w:val="00971600"/>
    <w:rsid w:val="00973D41"/>
    <w:rsid w:val="00987D3A"/>
    <w:rsid w:val="009905EF"/>
    <w:rsid w:val="00993D29"/>
    <w:rsid w:val="009973B4"/>
    <w:rsid w:val="009A111E"/>
    <w:rsid w:val="009C28C1"/>
    <w:rsid w:val="009D12E8"/>
    <w:rsid w:val="009F3CFB"/>
    <w:rsid w:val="009F7EED"/>
    <w:rsid w:val="00A21AB4"/>
    <w:rsid w:val="00A51456"/>
    <w:rsid w:val="00A76454"/>
    <w:rsid w:val="00A80636"/>
    <w:rsid w:val="00A833AA"/>
    <w:rsid w:val="00A90DFE"/>
    <w:rsid w:val="00A9350F"/>
    <w:rsid w:val="00A940E0"/>
    <w:rsid w:val="00A9640F"/>
    <w:rsid w:val="00AA0804"/>
    <w:rsid w:val="00AA5587"/>
    <w:rsid w:val="00AB4039"/>
    <w:rsid w:val="00AC25EB"/>
    <w:rsid w:val="00AF0AAB"/>
    <w:rsid w:val="00AF0FB9"/>
    <w:rsid w:val="00AF3947"/>
    <w:rsid w:val="00AF7E0D"/>
    <w:rsid w:val="00B01552"/>
    <w:rsid w:val="00B124D6"/>
    <w:rsid w:val="00B22AF4"/>
    <w:rsid w:val="00B30C42"/>
    <w:rsid w:val="00B45E8D"/>
    <w:rsid w:val="00B46C5E"/>
    <w:rsid w:val="00B52CBE"/>
    <w:rsid w:val="00B72D0A"/>
    <w:rsid w:val="00B872D5"/>
    <w:rsid w:val="00B93660"/>
    <w:rsid w:val="00BB07B8"/>
    <w:rsid w:val="00BC6F46"/>
    <w:rsid w:val="00BD4FC4"/>
    <w:rsid w:val="00BD5052"/>
    <w:rsid w:val="00BF04EC"/>
    <w:rsid w:val="00BF06DA"/>
    <w:rsid w:val="00BF597E"/>
    <w:rsid w:val="00C1217D"/>
    <w:rsid w:val="00C141E2"/>
    <w:rsid w:val="00C1723B"/>
    <w:rsid w:val="00C31F18"/>
    <w:rsid w:val="00C42AEF"/>
    <w:rsid w:val="00C4372A"/>
    <w:rsid w:val="00C46FCD"/>
    <w:rsid w:val="00C479FA"/>
    <w:rsid w:val="00C51A36"/>
    <w:rsid w:val="00C51C06"/>
    <w:rsid w:val="00C55228"/>
    <w:rsid w:val="00C55F13"/>
    <w:rsid w:val="00C56DB8"/>
    <w:rsid w:val="00C96CFF"/>
    <w:rsid w:val="00CA6626"/>
    <w:rsid w:val="00CB77A7"/>
    <w:rsid w:val="00CC3523"/>
    <w:rsid w:val="00CC5DF8"/>
    <w:rsid w:val="00CD47DF"/>
    <w:rsid w:val="00CD4867"/>
    <w:rsid w:val="00CD7AE0"/>
    <w:rsid w:val="00CE315A"/>
    <w:rsid w:val="00CE3B8B"/>
    <w:rsid w:val="00CF7B5E"/>
    <w:rsid w:val="00D024C8"/>
    <w:rsid w:val="00D03FF4"/>
    <w:rsid w:val="00D06F59"/>
    <w:rsid w:val="00D13CA2"/>
    <w:rsid w:val="00D258D5"/>
    <w:rsid w:val="00D475EC"/>
    <w:rsid w:val="00D50AA9"/>
    <w:rsid w:val="00D67493"/>
    <w:rsid w:val="00D7371C"/>
    <w:rsid w:val="00D8388C"/>
    <w:rsid w:val="00D875A1"/>
    <w:rsid w:val="00D91BED"/>
    <w:rsid w:val="00D925DB"/>
    <w:rsid w:val="00DA20DE"/>
    <w:rsid w:val="00DC4C09"/>
    <w:rsid w:val="00DF1C28"/>
    <w:rsid w:val="00DF5166"/>
    <w:rsid w:val="00DF76EF"/>
    <w:rsid w:val="00E0121D"/>
    <w:rsid w:val="00E03B02"/>
    <w:rsid w:val="00E04CE2"/>
    <w:rsid w:val="00E1419A"/>
    <w:rsid w:val="00E2137D"/>
    <w:rsid w:val="00E306BD"/>
    <w:rsid w:val="00E362FD"/>
    <w:rsid w:val="00E53AA1"/>
    <w:rsid w:val="00E6224C"/>
    <w:rsid w:val="00E6296D"/>
    <w:rsid w:val="00E7638C"/>
    <w:rsid w:val="00E807C2"/>
    <w:rsid w:val="00E860E7"/>
    <w:rsid w:val="00E94823"/>
    <w:rsid w:val="00EA4EE2"/>
    <w:rsid w:val="00EB0164"/>
    <w:rsid w:val="00EB6C4D"/>
    <w:rsid w:val="00EC17F2"/>
    <w:rsid w:val="00EC6D0A"/>
    <w:rsid w:val="00ED02AE"/>
    <w:rsid w:val="00ED0F62"/>
    <w:rsid w:val="00ED2FFC"/>
    <w:rsid w:val="00ED3824"/>
    <w:rsid w:val="00EE0502"/>
    <w:rsid w:val="00EE2EBF"/>
    <w:rsid w:val="00EE5DAD"/>
    <w:rsid w:val="00EE6C6D"/>
    <w:rsid w:val="00EF1E4B"/>
    <w:rsid w:val="00EF35F8"/>
    <w:rsid w:val="00F032F0"/>
    <w:rsid w:val="00F06D33"/>
    <w:rsid w:val="00F15A43"/>
    <w:rsid w:val="00F176C7"/>
    <w:rsid w:val="00F2025F"/>
    <w:rsid w:val="00F3409F"/>
    <w:rsid w:val="00F355D8"/>
    <w:rsid w:val="00F442FF"/>
    <w:rsid w:val="00F705C1"/>
    <w:rsid w:val="00F84221"/>
    <w:rsid w:val="00FA271A"/>
    <w:rsid w:val="00FA4470"/>
    <w:rsid w:val="00FC51B4"/>
    <w:rsid w:val="00FD07E2"/>
    <w:rsid w:val="00FE0471"/>
    <w:rsid w:val="00FE135F"/>
    <w:rsid w:val="00FE1AE5"/>
    <w:rsid w:val="00FF4041"/>
    <w:rsid w:val="01165468"/>
    <w:rsid w:val="011738ED"/>
    <w:rsid w:val="01D30DDD"/>
    <w:rsid w:val="01E058E7"/>
    <w:rsid w:val="0216476F"/>
    <w:rsid w:val="02A807E2"/>
    <w:rsid w:val="02BA6BCC"/>
    <w:rsid w:val="02E32721"/>
    <w:rsid w:val="02F110DA"/>
    <w:rsid w:val="03487AEF"/>
    <w:rsid w:val="036C6B0B"/>
    <w:rsid w:val="03EF2E2B"/>
    <w:rsid w:val="03FD4FF6"/>
    <w:rsid w:val="041B79E6"/>
    <w:rsid w:val="048A5FE7"/>
    <w:rsid w:val="04F7407A"/>
    <w:rsid w:val="05181F87"/>
    <w:rsid w:val="06845987"/>
    <w:rsid w:val="06A4782D"/>
    <w:rsid w:val="06C727A2"/>
    <w:rsid w:val="06DA37D7"/>
    <w:rsid w:val="077060BE"/>
    <w:rsid w:val="07EB0834"/>
    <w:rsid w:val="080B0578"/>
    <w:rsid w:val="08572687"/>
    <w:rsid w:val="08652A0A"/>
    <w:rsid w:val="08980FB9"/>
    <w:rsid w:val="08DA582A"/>
    <w:rsid w:val="091D6071"/>
    <w:rsid w:val="093E3A4A"/>
    <w:rsid w:val="0A5470F2"/>
    <w:rsid w:val="0A633A17"/>
    <w:rsid w:val="0A8C70F6"/>
    <w:rsid w:val="0A905F0C"/>
    <w:rsid w:val="0A996919"/>
    <w:rsid w:val="0ACE1874"/>
    <w:rsid w:val="0ADF2004"/>
    <w:rsid w:val="0AF04256"/>
    <w:rsid w:val="0AFA3C89"/>
    <w:rsid w:val="0B73073D"/>
    <w:rsid w:val="0B8B4C4A"/>
    <w:rsid w:val="0BA771EF"/>
    <w:rsid w:val="0BA774F2"/>
    <w:rsid w:val="0BBD371E"/>
    <w:rsid w:val="0C426F71"/>
    <w:rsid w:val="0CCA72FB"/>
    <w:rsid w:val="0CD93B29"/>
    <w:rsid w:val="0D497365"/>
    <w:rsid w:val="0D5549D0"/>
    <w:rsid w:val="0D7D62F5"/>
    <w:rsid w:val="0D831A6F"/>
    <w:rsid w:val="0DB52164"/>
    <w:rsid w:val="0DE60895"/>
    <w:rsid w:val="0E5E7C8E"/>
    <w:rsid w:val="0EB729C2"/>
    <w:rsid w:val="0F276DBD"/>
    <w:rsid w:val="0F584279"/>
    <w:rsid w:val="0FA12C22"/>
    <w:rsid w:val="0FD25672"/>
    <w:rsid w:val="0FE45C09"/>
    <w:rsid w:val="10144EE5"/>
    <w:rsid w:val="10276BE9"/>
    <w:rsid w:val="1029671C"/>
    <w:rsid w:val="105B2913"/>
    <w:rsid w:val="108219C2"/>
    <w:rsid w:val="10AD05A1"/>
    <w:rsid w:val="10DB16FB"/>
    <w:rsid w:val="10E72AAB"/>
    <w:rsid w:val="11336D7D"/>
    <w:rsid w:val="116B69E1"/>
    <w:rsid w:val="11E65EDC"/>
    <w:rsid w:val="11E73F86"/>
    <w:rsid w:val="121467D1"/>
    <w:rsid w:val="12691638"/>
    <w:rsid w:val="128D1E4D"/>
    <w:rsid w:val="131740EC"/>
    <w:rsid w:val="133A3AAF"/>
    <w:rsid w:val="135D7057"/>
    <w:rsid w:val="13A4735E"/>
    <w:rsid w:val="13A6160D"/>
    <w:rsid w:val="141C3600"/>
    <w:rsid w:val="142F0875"/>
    <w:rsid w:val="144E79C5"/>
    <w:rsid w:val="14C95B21"/>
    <w:rsid w:val="14D377A6"/>
    <w:rsid w:val="14DE2FEE"/>
    <w:rsid w:val="14EE56DB"/>
    <w:rsid w:val="1506786D"/>
    <w:rsid w:val="1570650E"/>
    <w:rsid w:val="15730D55"/>
    <w:rsid w:val="15873CAC"/>
    <w:rsid w:val="15D87AAF"/>
    <w:rsid w:val="165E32ED"/>
    <w:rsid w:val="16B37DD9"/>
    <w:rsid w:val="16BA6C31"/>
    <w:rsid w:val="17091FDB"/>
    <w:rsid w:val="172560A8"/>
    <w:rsid w:val="174B2076"/>
    <w:rsid w:val="17676508"/>
    <w:rsid w:val="17FD3326"/>
    <w:rsid w:val="18071168"/>
    <w:rsid w:val="18521578"/>
    <w:rsid w:val="185D6041"/>
    <w:rsid w:val="18AA7053"/>
    <w:rsid w:val="18B85BE6"/>
    <w:rsid w:val="1A350C70"/>
    <w:rsid w:val="1A4533F0"/>
    <w:rsid w:val="1A743971"/>
    <w:rsid w:val="1AAB67EA"/>
    <w:rsid w:val="1AD536DB"/>
    <w:rsid w:val="1ADF625D"/>
    <w:rsid w:val="1AEA0933"/>
    <w:rsid w:val="1B2D7B01"/>
    <w:rsid w:val="1B770A02"/>
    <w:rsid w:val="1BB100F1"/>
    <w:rsid w:val="1C001AFE"/>
    <w:rsid w:val="1CB41964"/>
    <w:rsid w:val="1CBB202F"/>
    <w:rsid w:val="1CC22FD1"/>
    <w:rsid w:val="1CED3502"/>
    <w:rsid w:val="1DB021DE"/>
    <w:rsid w:val="1DB76F83"/>
    <w:rsid w:val="1DC01454"/>
    <w:rsid w:val="1DC35749"/>
    <w:rsid w:val="1E0C60AA"/>
    <w:rsid w:val="1E136F90"/>
    <w:rsid w:val="1E316ED8"/>
    <w:rsid w:val="1E584675"/>
    <w:rsid w:val="1E895841"/>
    <w:rsid w:val="1E8B6F74"/>
    <w:rsid w:val="1EA22EE2"/>
    <w:rsid w:val="1F5721F1"/>
    <w:rsid w:val="1F7E74B4"/>
    <w:rsid w:val="1FAD750F"/>
    <w:rsid w:val="1FF507B4"/>
    <w:rsid w:val="1FF97C6D"/>
    <w:rsid w:val="20DF1143"/>
    <w:rsid w:val="20F16086"/>
    <w:rsid w:val="210C34C6"/>
    <w:rsid w:val="211872D7"/>
    <w:rsid w:val="2175174D"/>
    <w:rsid w:val="21BF0EAB"/>
    <w:rsid w:val="21F17C3C"/>
    <w:rsid w:val="2291400A"/>
    <w:rsid w:val="22A707B4"/>
    <w:rsid w:val="22DA633E"/>
    <w:rsid w:val="231502F8"/>
    <w:rsid w:val="23A91024"/>
    <w:rsid w:val="24244568"/>
    <w:rsid w:val="24932DF7"/>
    <w:rsid w:val="254A04DB"/>
    <w:rsid w:val="25624DAC"/>
    <w:rsid w:val="25DF4C37"/>
    <w:rsid w:val="265B6B30"/>
    <w:rsid w:val="266B0827"/>
    <w:rsid w:val="269513DA"/>
    <w:rsid w:val="272877DC"/>
    <w:rsid w:val="274E6209"/>
    <w:rsid w:val="275150E7"/>
    <w:rsid w:val="277B4EEB"/>
    <w:rsid w:val="279A7E3D"/>
    <w:rsid w:val="28EC2E58"/>
    <w:rsid w:val="29E26CDA"/>
    <w:rsid w:val="2A1C1758"/>
    <w:rsid w:val="2A287BCE"/>
    <w:rsid w:val="2A9C7564"/>
    <w:rsid w:val="2ACE0872"/>
    <w:rsid w:val="2B0F670A"/>
    <w:rsid w:val="2B9A1A41"/>
    <w:rsid w:val="2BC238C1"/>
    <w:rsid w:val="2BD34A0D"/>
    <w:rsid w:val="2BE40C2F"/>
    <w:rsid w:val="2C950CA7"/>
    <w:rsid w:val="2CA0369E"/>
    <w:rsid w:val="2D1E6386"/>
    <w:rsid w:val="2D8306AB"/>
    <w:rsid w:val="2E044AB0"/>
    <w:rsid w:val="2E096DBC"/>
    <w:rsid w:val="2E1A65BB"/>
    <w:rsid w:val="2E9264B3"/>
    <w:rsid w:val="2F500E02"/>
    <w:rsid w:val="2FA33733"/>
    <w:rsid w:val="304409D8"/>
    <w:rsid w:val="30A30912"/>
    <w:rsid w:val="30A8297E"/>
    <w:rsid w:val="31633F3B"/>
    <w:rsid w:val="31EF06C4"/>
    <w:rsid w:val="320248E3"/>
    <w:rsid w:val="32277422"/>
    <w:rsid w:val="323316E9"/>
    <w:rsid w:val="32505D26"/>
    <w:rsid w:val="325B160B"/>
    <w:rsid w:val="32A91FD1"/>
    <w:rsid w:val="33011673"/>
    <w:rsid w:val="348F71F4"/>
    <w:rsid w:val="34916F9A"/>
    <w:rsid w:val="35372174"/>
    <w:rsid w:val="36294D55"/>
    <w:rsid w:val="36A208C8"/>
    <w:rsid w:val="370A30AA"/>
    <w:rsid w:val="37473444"/>
    <w:rsid w:val="377D4131"/>
    <w:rsid w:val="37895692"/>
    <w:rsid w:val="379F6F82"/>
    <w:rsid w:val="37CD00C8"/>
    <w:rsid w:val="380E35C2"/>
    <w:rsid w:val="389D768F"/>
    <w:rsid w:val="38A20CD7"/>
    <w:rsid w:val="38A34A8D"/>
    <w:rsid w:val="38B55B8F"/>
    <w:rsid w:val="38DA7D0A"/>
    <w:rsid w:val="3977064C"/>
    <w:rsid w:val="39804C81"/>
    <w:rsid w:val="3A1B5F27"/>
    <w:rsid w:val="3AE046C6"/>
    <w:rsid w:val="3B086C83"/>
    <w:rsid w:val="3B346867"/>
    <w:rsid w:val="3B3A615A"/>
    <w:rsid w:val="3BCA79B1"/>
    <w:rsid w:val="3BD136D5"/>
    <w:rsid w:val="3BDD69B3"/>
    <w:rsid w:val="3CD54F4A"/>
    <w:rsid w:val="3D5F10F9"/>
    <w:rsid w:val="3DD6700D"/>
    <w:rsid w:val="3E143D56"/>
    <w:rsid w:val="3E283F0A"/>
    <w:rsid w:val="3E7D387D"/>
    <w:rsid w:val="3E9F10AC"/>
    <w:rsid w:val="3F0A1D3C"/>
    <w:rsid w:val="3F0B3FC7"/>
    <w:rsid w:val="3F3A74FD"/>
    <w:rsid w:val="3F67141F"/>
    <w:rsid w:val="3F8A4496"/>
    <w:rsid w:val="3F941A8C"/>
    <w:rsid w:val="409A0C02"/>
    <w:rsid w:val="40E32E3C"/>
    <w:rsid w:val="413643AA"/>
    <w:rsid w:val="415526AA"/>
    <w:rsid w:val="41907691"/>
    <w:rsid w:val="425725E8"/>
    <w:rsid w:val="42D56F8E"/>
    <w:rsid w:val="4314798A"/>
    <w:rsid w:val="437856DB"/>
    <w:rsid w:val="43CD744C"/>
    <w:rsid w:val="441578D7"/>
    <w:rsid w:val="44187BAB"/>
    <w:rsid w:val="44264B74"/>
    <w:rsid w:val="4478512B"/>
    <w:rsid w:val="449F4BA4"/>
    <w:rsid w:val="452F66AF"/>
    <w:rsid w:val="460A4D15"/>
    <w:rsid w:val="462C33D1"/>
    <w:rsid w:val="4646500D"/>
    <w:rsid w:val="466D0E0E"/>
    <w:rsid w:val="46957D26"/>
    <w:rsid w:val="46EC43F2"/>
    <w:rsid w:val="48416B22"/>
    <w:rsid w:val="484871F8"/>
    <w:rsid w:val="490B31F4"/>
    <w:rsid w:val="491D6413"/>
    <w:rsid w:val="49C20310"/>
    <w:rsid w:val="49FE5C65"/>
    <w:rsid w:val="4A3079DE"/>
    <w:rsid w:val="4A7F020F"/>
    <w:rsid w:val="4A924BDE"/>
    <w:rsid w:val="4B68450A"/>
    <w:rsid w:val="4B8A545E"/>
    <w:rsid w:val="4B9E7B5F"/>
    <w:rsid w:val="4BF35FEB"/>
    <w:rsid w:val="4C531B79"/>
    <w:rsid w:val="4C9607AF"/>
    <w:rsid w:val="4CC77C15"/>
    <w:rsid w:val="4D365F00"/>
    <w:rsid w:val="4DF30C7B"/>
    <w:rsid w:val="4E332E7A"/>
    <w:rsid w:val="4E973AE1"/>
    <w:rsid w:val="4ED155D0"/>
    <w:rsid w:val="4F613381"/>
    <w:rsid w:val="500055C5"/>
    <w:rsid w:val="51BD3538"/>
    <w:rsid w:val="52A23505"/>
    <w:rsid w:val="530564F4"/>
    <w:rsid w:val="53693CAB"/>
    <w:rsid w:val="538F7E95"/>
    <w:rsid w:val="539560C0"/>
    <w:rsid w:val="53A67E32"/>
    <w:rsid w:val="5406346F"/>
    <w:rsid w:val="5437756A"/>
    <w:rsid w:val="546D09E6"/>
    <w:rsid w:val="551047BF"/>
    <w:rsid w:val="55373184"/>
    <w:rsid w:val="55F90F9A"/>
    <w:rsid w:val="56357322"/>
    <w:rsid w:val="56C92E6A"/>
    <w:rsid w:val="56D973CF"/>
    <w:rsid w:val="56EF0A09"/>
    <w:rsid w:val="56FD4FD9"/>
    <w:rsid w:val="573A77BF"/>
    <w:rsid w:val="57BC0108"/>
    <w:rsid w:val="57EA3DCD"/>
    <w:rsid w:val="59656301"/>
    <w:rsid w:val="59811AF3"/>
    <w:rsid w:val="5A47580D"/>
    <w:rsid w:val="5A8A0A3F"/>
    <w:rsid w:val="5A9D21AB"/>
    <w:rsid w:val="5B664AB8"/>
    <w:rsid w:val="5B8E7AE8"/>
    <w:rsid w:val="5B990EF0"/>
    <w:rsid w:val="5C014A8D"/>
    <w:rsid w:val="5C0700DA"/>
    <w:rsid w:val="5C320D87"/>
    <w:rsid w:val="5D221D10"/>
    <w:rsid w:val="5D9E38D8"/>
    <w:rsid w:val="5DDA65AA"/>
    <w:rsid w:val="5E267D57"/>
    <w:rsid w:val="5E8C3E66"/>
    <w:rsid w:val="5E8D3DB6"/>
    <w:rsid w:val="5EA12B9A"/>
    <w:rsid w:val="5ECA37D9"/>
    <w:rsid w:val="5EEC3F13"/>
    <w:rsid w:val="5F1B6FA3"/>
    <w:rsid w:val="608144D7"/>
    <w:rsid w:val="60D67418"/>
    <w:rsid w:val="61537849"/>
    <w:rsid w:val="61550AAA"/>
    <w:rsid w:val="619536FC"/>
    <w:rsid w:val="61967A51"/>
    <w:rsid w:val="61B911B5"/>
    <w:rsid w:val="61BF0D5B"/>
    <w:rsid w:val="62522124"/>
    <w:rsid w:val="62831B48"/>
    <w:rsid w:val="62EA14BE"/>
    <w:rsid w:val="632025F3"/>
    <w:rsid w:val="636016A8"/>
    <w:rsid w:val="63804600"/>
    <w:rsid w:val="640E38C9"/>
    <w:rsid w:val="646C4CC4"/>
    <w:rsid w:val="64AF7308"/>
    <w:rsid w:val="64B67394"/>
    <w:rsid w:val="65171900"/>
    <w:rsid w:val="652956BE"/>
    <w:rsid w:val="6582180C"/>
    <w:rsid w:val="658E3DE5"/>
    <w:rsid w:val="659E04BA"/>
    <w:rsid w:val="65AF0FEF"/>
    <w:rsid w:val="661307BA"/>
    <w:rsid w:val="66280DC6"/>
    <w:rsid w:val="663C665B"/>
    <w:rsid w:val="66DE0102"/>
    <w:rsid w:val="675F761E"/>
    <w:rsid w:val="67886D06"/>
    <w:rsid w:val="678D5EA6"/>
    <w:rsid w:val="67AD758A"/>
    <w:rsid w:val="67CE5306"/>
    <w:rsid w:val="684D3C00"/>
    <w:rsid w:val="68947B80"/>
    <w:rsid w:val="689D0286"/>
    <w:rsid w:val="68E57D20"/>
    <w:rsid w:val="69061AA6"/>
    <w:rsid w:val="69080544"/>
    <w:rsid w:val="695A3639"/>
    <w:rsid w:val="69A60E93"/>
    <w:rsid w:val="6A040540"/>
    <w:rsid w:val="6A314060"/>
    <w:rsid w:val="6A321EB4"/>
    <w:rsid w:val="6A974851"/>
    <w:rsid w:val="6AB62150"/>
    <w:rsid w:val="6AFD0161"/>
    <w:rsid w:val="6B633BBF"/>
    <w:rsid w:val="6B797F2B"/>
    <w:rsid w:val="6B9003ED"/>
    <w:rsid w:val="6BE10739"/>
    <w:rsid w:val="6C2500E0"/>
    <w:rsid w:val="6C84465B"/>
    <w:rsid w:val="6CCB6BCF"/>
    <w:rsid w:val="6D547A68"/>
    <w:rsid w:val="6D7738BA"/>
    <w:rsid w:val="6E531CAD"/>
    <w:rsid w:val="6E707B25"/>
    <w:rsid w:val="6F1E6F54"/>
    <w:rsid w:val="703A6DCE"/>
    <w:rsid w:val="706B7428"/>
    <w:rsid w:val="70886A2B"/>
    <w:rsid w:val="718C0D8B"/>
    <w:rsid w:val="72186371"/>
    <w:rsid w:val="72655D79"/>
    <w:rsid w:val="727B6EC0"/>
    <w:rsid w:val="728157AA"/>
    <w:rsid w:val="728361EC"/>
    <w:rsid w:val="729E3F7B"/>
    <w:rsid w:val="72B65FB5"/>
    <w:rsid w:val="72CE0E1D"/>
    <w:rsid w:val="73364391"/>
    <w:rsid w:val="7379231A"/>
    <w:rsid w:val="73B81ADD"/>
    <w:rsid w:val="73BF2E6B"/>
    <w:rsid w:val="73EE6A72"/>
    <w:rsid w:val="73F979D9"/>
    <w:rsid w:val="741955F8"/>
    <w:rsid w:val="741965F5"/>
    <w:rsid w:val="7450688C"/>
    <w:rsid w:val="749E65C5"/>
    <w:rsid w:val="752A3C72"/>
    <w:rsid w:val="759856E2"/>
    <w:rsid w:val="75E64097"/>
    <w:rsid w:val="760656B5"/>
    <w:rsid w:val="7744314B"/>
    <w:rsid w:val="774B24FE"/>
    <w:rsid w:val="7768158A"/>
    <w:rsid w:val="7774293C"/>
    <w:rsid w:val="7891425E"/>
    <w:rsid w:val="78951FD5"/>
    <w:rsid w:val="79CE50A9"/>
    <w:rsid w:val="79E044BC"/>
    <w:rsid w:val="7A044D72"/>
    <w:rsid w:val="7A207A70"/>
    <w:rsid w:val="7A430D79"/>
    <w:rsid w:val="7A6E023B"/>
    <w:rsid w:val="7A704881"/>
    <w:rsid w:val="7B092083"/>
    <w:rsid w:val="7B5C1A6A"/>
    <w:rsid w:val="7BC10C51"/>
    <w:rsid w:val="7CAC48F9"/>
    <w:rsid w:val="7D234897"/>
    <w:rsid w:val="7D752D73"/>
    <w:rsid w:val="7DB6474E"/>
    <w:rsid w:val="7E304D79"/>
    <w:rsid w:val="7EC56B31"/>
    <w:rsid w:val="7F2826C9"/>
    <w:rsid w:val="7F492124"/>
    <w:rsid w:val="7FAA1174"/>
    <w:rsid w:val="7FE527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页眉 Char"/>
    <w:basedOn w:val="12"/>
    <w:link w:val="9"/>
    <w:qFormat/>
    <w:uiPriority w:val="0"/>
    <w:rPr>
      <w:rFonts w:ascii="Times New Roman" w:hAnsi="Times New Roman" w:eastAsia="宋体" w:cs="Times New Roman"/>
      <w:sz w:val="18"/>
      <w:szCs w:val="18"/>
    </w:rPr>
  </w:style>
  <w:style w:type="character" w:customStyle="1" w:styleId="16">
    <w:name w:val="页脚 Char"/>
    <w:basedOn w:val="12"/>
    <w:link w:val="8"/>
    <w:qFormat/>
    <w:uiPriority w:val="99"/>
    <w:rPr>
      <w:rFonts w:ascii="Times New Roman" w:hAnsi="Times New Roman" w:eastAsia="宋体" w:cs="Times New Roman"/>
      <w:sz w:val="18"/>
      <w:szCs w:val="18"/>
    </w:rPr>
  </w:style>
  <w:style w:type="character" w:customStyle="1" w:styleId="17">
    <w:name w:val="批注框文本 Char"/>
    <w:basedOn w:val="12"/>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3">
    <w:name w:val="List Paragraph"/>
    <w:basedOn w:val="1"/>
    <w:unhideWhenUsed/>
    <w:qFormat/>
    <w:uiPriority w:val="99"/>
    <w:pPr>
      <w:ind w:firstLine="420" w:firstLineChars="200"/>
    </w:pPr>
  </w:style>
  <w:style w:type="character" w:customStyle="1" w:styleId="24">
    <w:name w:val="占位符文本2"/>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1309</Words>
  <Characters>7465</Characters>
  <Lines>62</Lines>
  <Paragraphs>17</Paragraphs>
  <TotalTime>1</TotalTime>
  <ScaleCrop>false</ScaleCrop>
  <LinksUpToDate>false</LinksUpToDate>
  <CharactersWithSpaces>8757</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2020-01-15T07:32:14Z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