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0615-2022-O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浙江真爱时尚家居有限公司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2022年09月03日 上午至2022年09月03日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hAnsi="宋体"/>
                <w:b/>
                <w:color w:val="000000"/>
                <w:szCs w:val="21"/>
                <w:lang w:val="en-US" w:eastAsia="zh-CN"/>
              </w:rPr>
              <w:t>现场结合远程</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auto"/>
                <w:szCs w:val="21"/>
              </w:rPr>
            </w:pPr>
            <w:r>
              <w:rPr>
                <w:rFonts w:hint="eastAsia" w:cs="Arial"/>
                <w:b/>
                <w:bCs/>
                <w:color w:val="auto"/>
                <w:szCs w:val="21"/>
              </w:rPr>
              <w:t>审核地址（含远程）</w:t>
            </w:r>
          </w:p>
        </w:tc>
        <w:tc>
          <w:tcPr>
            <w:tcW w:w="7431" w:type="dxa"/>
            <w:tcMar>
              <w:left w:w="113" w:type="dxa"/>
            </w:tcMar>
          </w:tcPr>
          <w:p>
            <w:pPr>
              <w:rPr>
                <w:rFonts w:ascii="宋体"/>
                <w:b/>
                <w:color w:val="auto"/>
                <w:szCs w:val="21"/>
              </w:rPr>
            </w:pPr>
            <w:r>
              <w:rPr>
                <w:b/>
                <w:bCs/>
                <w:color w:val="auto"/>
              </w:rPr>
              <w:t>浙江省金华市金东经济开发区华丰东路999号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远程审核方式</w:t>
            </w:r>
          </w:p>
        </w:tc>
        <w:tc>
          <w:tcPr>
            <w:tcW w:w="7431" w:type="dxa"/>
            <w:tcMar>
              <w:left w:w="113" w:type="dxa"/>
            </w:tcMar>
            <w:vAlign w:val="bottom"/>
          </w:tcPr>
          <w:p>
            <w:pPr>
              <w:rPr>
                <w:rFonts w:ascii="宋体"/>
                <w:b/>
                <w:color w:val="auto"/>
                <w:szCs w:val="21"/>
              </w:rPr>
            </w:pPr>
            <w:r>
              <w:rPr>
                <w:rFonts w:hint="eastAsia" w:ascii="宋体"/>
                <w:b/>
                <w:color w:val="auto"/>
                <w:szCs w:val="21"/>
              </w:rPr>
              <w:t>□音频</w:t>
            </w:r>
            <w:r>
              <w:rPr>
                <w:rFonts w:hint="eastAsia" w:ascii="宋体" w:hAnsi="宋体"/>
                <w:b/>
                <w:color w:val="auto"/>
                <w:szCs w:val="21"/>
                <w:lang w:val="de-DE"/>
              </w:rPr>
              <w:t>■</w:t>
            </w:r>
            <w:r>
              <w:rPr>
                <w:rFonts w:hint="eastAsia" w:ascii="宋体"/>
                <w:b/>
                <w:color w:val="auto"/>
                <w:szCs w:val="21"/>
              </w:rPr>
              <w:t>视频</w:t>
            </w:r>
            <w:r>
              <w:rPr>
                <w:rFonts w:hint="eastAsia" w:ascii="宋体" w:hAnsi="宋体"/>
                <w:b/>
                <w:color w:val="auto"/>
                <w:szCs w:val="21"/>
                <w:lang w:val="de-DE"/>
              </w:rPr>
              <w:t>■</w:t>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auto"/>
                <w:szCs w:val="21"/>
              </w:rPr>
            </w:pPr>
            <w:r>
              <w:rPr>
                <w:rFonts w:hint="eastAsia" w:ascii="宋体"/>
                <w:b/>
                <w:color w:val="auto"/>
                <w:szCs w:val="21"/>
              </w:rPr>
              <w:t>信息安全的控制</w:t>
            </w:r>
          </w:p>
        </w:tc>
        <w:tc>
          <w:tcPr>
            <w:tcW w:w="7431" w:type="dxa"/>
            <w:tcMar>
              <w:left w:w="113" w:type="dxa"/>
            </w:tcMar>
            <w:vAlign w:val="bottom"/>
          </w:tcPr>
          <w:p>
            <w:pPr>
              <w:rPr>
                <w:rFonts w:ascii="宋体"/>
                <w:b/>
                <w:color w:val="auto"/>
                <w:szCs w:val="21"/>
              </w:rPr>
            </w:pPr>
            <w:r>
              <w:rPr>
                <w:rFonts w:hint="eastAsia" w:ascii="宋体" w:hAnsi="宋体"/>
                <w:b/>
                <w:color w:val="auto"/>
                <w:szCs w:val="21"/>
                <w:lang w:val="de-DE"/>
              </w:rPr>
              <w:t>■</w:t>
            </w: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auto"/>
                <w:szCs w:val="21"/>
              </w:rPr>
            </w:pPr>
            <w:r>
              <w:rPr>
                <w:rFonts w:hint="eastAsia" w:ascii="宋体"/>
                <w:b/>
                <w:color w:val="auto"/>
                <w:szCs w:val="21"/>
              </w:rPr>
              <w:t>远程审核资源</w:t>
            </w:r>
          </w:p>
        </w:tc>
        <w:tc>
          <w:tcPr>
            <w:tcW w:w="7431" w:type="dxa"/>
            <w:tcMar>
              <w:left w:w="113" w:type="dxa"/>
            </w:tcMar>
            <w:vAlign w:val="bottom"/>
          </w:tcPr>
          <w:p>
            <w:pPr>
              <w:rPr>
                <w:rFonts w:ascii="宋体"/>
                <w:b/>
                <w:color w:val="auto"/>
                <w:szCs w:val="21"/>
              </w:rPr>
            </w:pPr>
            <w:r>
              <w:rPr>
                <w:rFonts w:hint="eastAsia" w:ascii="宋体" w:hAnsi="宋体"/>
                <w:b/>
                <w:color w:val="auto"/>
                <w:szCs w:val="21"/>
                <w:lang w:val="de-DE"/>
              </w:rPr>
              <w:t>■</w:t>
            </w:r>
            <w:r>
              <w:rPr>
                <w:rFonts w:hint="eastAsia" w:ascii="宋体"/>
                <w:b/>
                <w:color w:val="auto"/>
                <w:szCs w:val="21"/>
              </w:rPr>
              <w:t>网络</w:t>
            </w:r>
            <w:r>
              <w:rPr>
                <w:rFonts w:hint="eastAsia" w:ascii="宋体" w:hAnsi="宋体"/>
                <w:b/>
                <w:color w:val="auto"/>
                <w:szCs w:val="21"/>
                <w:lang w:val="de-DE"/>
              </w:rPr>
              <w:t>■</w:t>
            </w:r>
            <w:r>
              <w:rPr>
                <w:rFonts w:hint="eastAsia" w:ascii="宋体"/>
                <w:b/>
                <w:color w:val="auto"/>
                <w:szCs w:val="21"/>
              </w:rPr>
              <w:t>智能手机□手持设备</w:t>
            </w:r>
            <w:r>
              <w:rPr>
                <w:rFonts w:hint="eastAsia" w:ascii="宋体" w:hAnsi="宋体"/>
                <w:b/>
                <w:color w:val="auto"/>
                <w:szCs w:val="21"/>
                <w:lang w:val="de-DE"/>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r>
              <w:rPr>
                <w:b/>
                <w:color w:val="000000"/>
                <w:szCs w:val="21"/>
              </w:rPr>
              <w:t>04.04.02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2022-N1OHSMS-3059501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浙江真爱时尚家居有限公司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浙江金东经济开发区华丰东路999号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321000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浙江省金华市金东经济开发区华丰东路999号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321000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彭宪忠</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15957930671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郑其明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彭宪忠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拉舍尔涤纶毛毯</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jc w:val="left"/>
              <w:rPr>
                <w:rFonts w:ascii="宋体" w:hAnsi="宋体"/>
                <w:color w:val="000000"/>
                <w:szCs w:val="21"/>
              </w:rPr>
            </w:pPr>
            <w:r>
              <w:rPr>
                <w:rFonts w:hint="eastAsia" w:ascii="宋体" w:hAnsi="宋体"/>
                <w:color w:val="000000"/>
                <w:szCs w:val="21"/>
              </w:rPr>
              <w:t>生产/服务提供流程简图</w:t>
            </w:r>
          </w:p>
          <w:p>
            <w:pPr>
              <w:tabs>
                <w:tab w:val="left" w:pos="0"/>
              </w:tabs>
              <w:jc w:val="left"/>
              <w:rPr>
                <w:rFonts w:ascii="宋体" w:hAnsi="宋体"/>
                <w:color w:val="000000"/>
                <w:szCs w:val="21"/>
              </w:rPr>
            </w:pPr>
          </w:p>
          <w:p>
            <w:pPr>
              <w:tabs>
                <w:tab w:val="left" w:pos="0"/>
              </w:tabs>
              <w:jc w:val="left"/>
              <w:rPr>
                <w:rFonts w:ascii="宋体" w:hAnsi="宋体"/>
                <w:color w:val="000000"/>
                <w:szCs w:val="21"/>
              </w:rPr>
            </w:pPr>
          </w:p>
        </w:tc>
        <w:tc>
          <w:tcPr>
            <w:tcW w:w="8058" w:type="dxa"/>
            <w:gridSpan w:val="7"/>
            <w:shd w:val="clear" w:color="auto" w:fill="auto"/>
          </w:tcPr>
          <w:p>
            <w:pPr>
              <w:tabs>
                <w:tab w:val="left" w:pos="360"/>
              </w:tabs>
              <w:ind w:left="360" w:hanging="360"/>
              <w:jc w:val="left"/>
              <w:rPr>
                <w:rFonts w:ascii="宋体"/>
                <w:color w:val="000000"/>
                <w:szCs w:val="21"/>
              </w:rPr>
            </w:pPr>
            <w:r>
              <w:rPr>
                <w:rFonts w:hint="eastAsia" w:ascii="华文细黑" w:hAnsi="华文细黑" w:cs="华文细黑"/>
                <w:szCs w:val="21"/>
                <w:lang w:val="en-US" w:eastAsia="zh-CN"/>
              </w:rPr>
              <w:t>整经→经编→切割→前定型→前刷烫→印花→烘干→蒸化→水洗→脱水→烘干→高梳→烫光→烫剪→烫光→烫剪→裁剪→包边→检验→入库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5" w:name="审核范围"/>
            <w:r>
              <w:t>拉舍尔涤纶毛毯的设计、生产和销售所涉及场所的相关职业健康安全管理活动</w:t>
            </w:r>
            <w:bookmarkEnd w:id="35"/>
          </w:p>
        </w:tc>
        <w:tc>
          <w:tcPr>
            <w:tcW w:w="2006" w:type="dxa"/>
            <w:gridSpan w:val="3"/>
            <w:vAlign w:val="center"/>
          </w:tcPr>
          <w:p>
            <w:pPr>
              <w:spacing w:line="400" w:lineRule="exact"/>
              <w:rPr>
                <w:rFonts w:ascii="宋体" w:hAnsi="宋体"/>
                <w:b/>
                <w:color w:val="000000"/>
                <w:szCs w:val="21"/>
              </w:rPr>
            </w:pPr>
            <w:r>
              <w:rPr>
                <w:b/>
                <w:color w:val="000000"/>
                <w:szCs w:val="21"/>
              </w:rPr>
              <w:t>04.04.02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auto"/>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auto"/>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26"/>
        <w:gridCol w:w="144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02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4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jc w:val="left"/>
              <w:rPr>
                <w:rFonts w:ascii="Times New Roman" w:hAnsi="Times New Roman" w:eastAsia="宋体" w:cs="Times New Roman"/>
                <w:kern w:val="2"/>
                <w:sz w:val="21"/>
                <w:szCs w:val="24"/>
                <w:lang w:val="de-DE" w:eastAsia="ja-JP" w:bidi="ar-SA"/>
              </w:rPr>
            </w:pPr>
            <w:r>
              <w:t>浙江真爱时尚家居有限公司</w:t>
            </w:r>
          </w:p>
        </w:tc>
        <w:tc>
          <w:tcPr>
            <w:tcW w:w="2267" w:type="dxa"/>
            <w:vAlign w:val="top"/>
          </w:tcPr>
          <w:p>
            <w:pPr>
              <w:jc w:val="left"/>
              <w:rPr>
                <w:rFonts w:ascii="Times New Roman" w:hAnsi="Times New Roman" w:eastAsia="宋体" w:cs="Times New Roman"/>
                <w:kern w:val="2"/>
                <w:sz w:val="21"/>
                <w:szCs w:val="24"/>
                <w:lang w:val="de-DE" w:eastAsia="ja-JP" w:bidi="ar-SA"/>
              </w:rPr>
            </w:pPr>
            <w:r>
              <w:t>浙江省金华市金东经济开发区华丰东路999号</w:t>
            </w:r>
          </w:p>
        </w:tc>
        <w:tc>
          <w:tcPr>
            <w:tcW w:w="571" w:type="dxa"/>
            <w:vAlign w:val="center"/>
          </w:tcPr>
          <w:p>
            <w:pPr>
              <w:jc w:val="left"/>
              <w:rPr>
                <w:rFonts w:hint="default" w:ascii="Times New Roman" w:hAnsi="Times New Roman" w:eastAsia="宋体" w:cs="Times New Roman"/>
                <w:kern w:val="2"/>
                <w:sz w:val="21"/>
                <w:szCs w:val="24"/>
                <w:lang w:val="en-US" w:eastAsia="ja-JP" w:bidi="ar-SA"/>
              </w:rPr>
            </w:pPr>
            <w:r>
              <w:rPr>
                <w:rFonts w:hint="eastAsia"/>
                <w:lang w:val="en-US" w:eastAsia="zh-CN"/>
              </w:rPr>
              <w:t>620</w:t>
            </w:r>
          </w:p>
        </w:tc>
        <w:tc>
          <w:tcPr>
            <w:tcW w:w="2026" w:type="dxa"/>
            <w:vAlign w:val="center"/>
          </w:tcPr>
          <w:p>
            <w:pPr>
              <w:jc w:val="left"/>
              <w:rPr>
                <w:rFonts w:ascii="Times New Roman" w:hAnsi="Times New Roman" w:eastAsia="宋体" w:cs="Times New Roman"/>
                <w:kern w:val="2"/>
                <w:sz w:val="21"/>
                <w:szCs w:val="24"/>
                <w:lang w:val="en-US" w:eastAsia="ja-JP" w:bidi="ar-SA"/>
              </w:rPr>
            </w:pPr>
            <w:r>
              <w:t>拉舍尔涤纶毛毯的设计、生产和销售所涉及场所的相关职业健康安全管理活动</w:t>
            </w:r>
          </w:p>
        </w:tc>
        <w:tc>
          <w:tcPr>
            <w:tcW w:w="1446" w:type="dxa"/>
            <w:vAlign w:val="top"/>
          </w:tcPr>
          <w:p>
            <w:pPr>
              <w:jc w:val="left"/>
              <w:rPr>
                <w:rFonts w:ascii="Times New Roman" w:hAnsi="Times New Roman" w:eastAsia="宋体" w:cs="Times New Roman"/>
                <w:kern w:val="2"/>
                <w:sz w:val="21"/>
                <w:szCs w:val="24"/>
                <w:lang w:val="en-US" w:eastAsia="ja-JP" w:bidi="ar-SA"/>
              </w:rPr>
            </w:pPr>
            <w:r>
              <w:rPr>
                <w:rFonts w:hint="eastAsia"/>
                <w:lang w:val="de-DE"/>
              </w:rPr>
              <w:t>■</w:t>
            </w:r>
            <w:r>
              <w:rPr>
                <w:rFonts w:hint="eastAsia"/>
              </w:rPr>
              <w:t>GB/T 45001-2020/</w:t>
            </w:r>
            <w:r>
              <w:rPr>
                <w:rFonts w:hint="eastAsia"/>
                <w:lang w:val="de-DE"/>
              </w:rPr>
              <w:t>ISO45001：2018</w:t>
            </w:r>
          </w:p>
        </w:tc>
        <w:tc>
          <w:tcPr>
            <w:tcW w:w="668" w:type="dxa"/>
            <w:shd w:val="clear" w:color="auto" w:fill="FFFFFF"/>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27</w:t>
            </w:r>
            <w:r>
              <w:rPr>
                <w:rFonts w:hint="eastAsia" w:ascii="宋体" w:hAnsi="宋体"/>
                <w:b/>
                <w:color w:val="000000"/>
                <w:szCs w:val="21"/>
                <w:u w:val="single"/>
              </w:rPr>
              <w:t>日</w:t>
            </w:r>
            <w:r>
              <w:rPr>
                <w:rFonts w:hint="eastAsia" w:ascii="宋体" w:hAnsi="宋体"/>
                <w:b/>
                <w:color w:val="000000"/>
                <w:szCs w:val="21"/>
                <w:u w:val="single"/>
                <w:lang w:val="en-US" w:eastAsia="zh-CN"/>
              </w:rPr>
              <w:t>-28日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lang w:val="en-US" w:eastAsia="zh-CN"/>
              </w:rPr>
              <w:t>2022.9.4下午至2022.9.6下午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可能降低可靠性的障碍</w:t>
            </w:r>
          </w:p>
        </w:tc>
        <w:tc>
          <w:tcPr>
            <w:tcW w:w="7415" w:type="dxa"/>
            <w:gridSpan w:val="2"/>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auto"/>
                <w:szCs w:val="21"/>
              </w:rPr>
            </w:pPr>
            <w:r>
              <w:rPr>
                <w:rFonts w:hint="eastAsia" w:ascii="宋体"/>
                <w:b/>
                <w:color w:val="auto"/>
                <w:szCs w:val="21"/>
              </w:rPr>
              <w:t>突发事件的情况</w:t>
            </w:r>
          </w:p>
        </w:tc>
        <w:tc>
          <w:tcPr>
            <w:tcW w:w="7415" w:type="dxa"/>
            <w:gridSpan w:val="2"/>
            <w:tcMar>
              <w:left w:w="113" w:type="dxa"/>
            </w:tcMar>
            <w:vAlign w:val="center"/>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auto"/>
                <w:szCs w:val="21"/>
              </w:rPr>
            </w:pPr>
            <w:r>
              <w:rPr>
                <w:rFonts w:hint="eastAsia" w:ascii="宋体"/>
                <w:b/>
                <w:color w:val="auto"/>
                <w:szCs w:val="21"/>
              </w:rPr>
              <w:t>突发事件的处置措施</w:t>
            </w:r>
          </w:p>
        </w:tc>
        <w:tc>
          <w:tcPr>
            <w:tcW w:w="7415" w:type="dxa"/>
            <w:gridSpan w:val="2"/>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auto"/>
                <w:szCs w:val="21"/>
              </w:rPr>
            </w:pPr>
            <w:r>
              <w:rPr>
                <w:rFonts w:hint="eastAsia" w:ascii="宋体"/>
                <w:b/>
                <w:color w:val="auto"/>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2336" behindDoc="0" locked="0" layoutInCell="1" allowOverlap="1">
            <wp:simplePos x="0" y="0"/>
            <wp:positionH relativeFrom="column">
              <wp:posOffset>4472305</wp:posOffset>
            </wp:positionH>
            <wp:positionV relativeFrom="paragraph">
              <wp:posOffset>142875</wp:posOffset>
            </wp:positionV>
            <wp:extent cx="666750" cy="482600"/>
            <wp:effectExtent l="0" t="0" r="6350" b="0"/>
            <wp:wrapSquare wrapText="bothSides"/>
            <wp:docPr id="3" name="图片 3" descr="林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
                    <pic:cNvPicPr>
                      <a:picLocks noChangeAspect="1"/>
                    </pic:cNvPicPr>
                  </pic:nvPicPr>
                  <pic:blipFill>
                    <a:blip r:embed="rId6"/>
                    <a:stretch>
                      <a:fillRect/>
                    </a:stretch>
                  </pic:blipFill>
                  <pic:spPr>
                    <a:xfrm>
                      <a:off x="0" y="0"/>
                      <a:ext cx="666750" cy="482600"/>
                    </a:xfrm>
                    <a:prstGeom prst="rect">
                      <a:avLst/>
                    </a:prstGeom>
                  </pic:spPr>
                </pic:pic>
              </a:graphicData>
            </a:graphic>
          </wp:anchor>
        </w:drawing>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1932940</wp:posOffset>
            </wp:positionH>
            <wp:positionV relativeFrom="paragraph">
              <wp:posOffset>57785</wp:posOffset>
            </wp:positionV>
            <wp:extent cx="1092835" cy="713740"/>
            <wp:effectExtent l="0" t="0" r="12065" b="10160"/>
            <wp:wrapSquare wrapText="bothSides"/>
            <wp:docPr id="2" name="图片 2"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透明底"/>
                    <pic:cNvPicPr>
                      <a:picLocks noChangeAspect="1"/>
                    </pic:cNvPicPr>
                  </pic:nvPicPr>
                  <pic:blipFill>
                    <a:blip r:embed="rId7"/>
                    <a:stretch>
                      <a:fillRect/>
                    </a:stretch>
                  </pic:blipFill>
                  <pic:spPr>
                    <a:xfrm>
                      <a:off x="0" y="0"/>
                      <a:ext cx="1092835" cy="71374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2022.9.4</w:t>
      </w:r>
    </w:p>
    <w:p>
      <w:pPr>
        <w:tabs>
          <w:tab w:val="left" w:pos="645"/>
        </w:tabs>
        <w:spacing w:after="156" w:afterLines="50" w:line="360" w:lineRule="exact"/>
        <w:rPr>
          <w:rFonts w:ascii="宋体" w:hAnsi="宋体"/>
          <w:b/>
          <w:bCs/>
          <w:color w:val="000000"/>
          <w:szCs w:val="21"/>
        </w:rPr>
      </w:pPr>
      <w:bookmarkStart w:id="36" w:name="_GoBack"/>
      <w:bookmarkEnd w:id="36"/>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TMxNmFjM2JiM2E0NTA2NDBlNDc5ZjJlODAzODVlOTAifQ=="/>
  </w:docVars>
  <w:rsids>
    <w:rsidRoot w:val="00000000"/>
    <w:rsid w:val="08906582"/>
    <w:rsid w:val="0D222D73"/>
    <w:rsid w:val="25FE211B"/>
    <w:rsid w:val="2F5754AB"/>
    <w:rsid w:val="45344128"/>
    <w:rsid w:val="58C63C68"/>
    <w:rsid w:val="5EF15FDD"/>
    <w:rsid w:val="672E216A"/>
    <w:rsid w:val="7E7C2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420"/>
    </w:p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2022-09-19T11:44:17Z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