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0749-2021-E-2022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河北鑫九龙电力器材制造有限公司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河北鑫九龙电力器材制造有限公司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河北省邯郸市永年区临洺关镇娄山村村西（钛白路西侧）</w:t>
            </w:r>
            <w:bookmarkEnd w:id="6"/>
          </w:p>
        </w:tc>
        <w:tc>
          <w:tcPr>
            <w:tcW w:w="1242" w:type="dxa"/>
            <w:vMerge w:val="restart"/>
            <w:vAlign w:val="center"/>
          </w:tcPr>
          <w:p>
            <w:r>
              <w:rPr>
                <w:rFonts w:hint="eastAsia"/>
              </w:rPr>
              <w:t>邮编</w:t>
            </w:r>
          </w:p>
        </w:tc>
        <w:tc>
          <w:tcPr>
            <w:tcW w:w="1771" w:type="dxa"/>
          </w:tcPr>
          <w:p>
            <w:bookmarkStart w:id="7" w:name="注册邮编"/>
            <w:r>
              <w:t>057150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河北省邯郸市永年区临洺关镇娄山村东北</w:t>
            </w:r>
            <w:bookmarkEnd w:id="8"/>
          </w:p>
        </w:tc>
        <w:tc>
          <w:tcPr>
            <w:tcW w:w="1242" w:type="dxa"/>
            <w:vMerge w:val="continue"/>
            <w:vAlign w:val="center"/>
          </w:tcPr>
          <w:p/>
        </w:tc>
        <w:tc>
          <w:tcPr>
            <w:tcW w:w="1771" w:type="dxa"/>
          </w:tcPr>
          <w:p>
            <w:bookmarkStart w:id="9" w:name="办公邮编"/>
            <w:r>
              <w:t>057150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张召虎</w:t>
            </w:r>
            <w:bookmarkEnd w:id="10"/>
          </w:p>
        </w:tc>
        <w:tc>
          <w:tcPr>
            <w:tcW w:w="1313" w:type="dxa"/>
            <w:vAlign w:val="center"/>
          </w:tcPr>
          <w:p>
            <w:r>
              <w:rPr>
                <w:rFonts w:hint="eastAsia"/>
              </w:rPr>
              <w:t>电话.</w:t>
            </w:r>
          </w:p>
        </w:tc>
        <w:tc>
          <w:tcPr>
            <w:tcW w:w="2180" w:type="dxa"/>
            <w:vAlign w:val="center"/>
          </w:tcPr>
          <w:p>
            <w:bookmarkStart w:id="11" w:name="联系人电话"/>
            <w:r>
              <w:t>13898852916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张现芳</w:t>
            </w:r>
            <w:bookmarkEnd w:id="13"/>
          </w:p>
        </w:tc>
        <w:tc>
          <w:tcPr>
            <w:tcW w:w="1313" w:type="dxa"/>
            <w:vAlign w:val="center"/>
          </w:tcPr>
          <w:p>
            <w:r>
              <w:rPr>
                <w:rFonts w:hint="eastAsia"/>
              </w:rPr>
              <w:t>管理者代表</w:t>
            </w:r>
          </w:p>
        </w:tc>
        <w:tc>
          <w:tcPr>
            <w:tcW w:w="2180" w:type="dxa"/>
          </w:tcPr>
          <w:p>
            <w:bookmarkStart w:id="14" w:name="管理者代表"/>
            <w:r>
              <w:t>张召虎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ind w:left="315" w:hanging="315" w:hangingChars="150"/>
              <w:rPr>
                <w:rFonts w:hint="eastAsia" w:ascii="宋体" w:hAnsi="宋体" w:cs="宋体"/>
                <w:bCs/>
                <w:kern w:val="0"/>
              </w:rPr>
            </w:pPr>
            <w:r>
              <w:rPr>
                <w:rFonts w:hint="eastAsia" w:ascii="宋体" w:hAnsi="宋体"/>
              </w:rPr>
              <w:t xml:space="preserve"> </w:t>
            </w:r>
            <w:r>
              <w:rPr>
                <w:rFonts w:hint="eastAsia" w:ascii="宋体" w:hAnsi="宋体" w:cs="宋体"/>
                <w:bCs/>
                <w:kern w:val="0"/>
              </w:rPr>
              <w:t xml:space="preserve">确定顾客需求 </w:t>
            </w:r>
            <w:r>
              <w:rPr>
                <w:rFonts w:hint="eastAsia" w:ascii="宋体" w:hAnsi="宋体" w:cs="宋体"/>
                <w:bCs/>
                <w:kern w:val="0"/>
                <w:lang w:val="en-US" w:eastAsia="zh-CN"/>
              </w:rPr>
              <w:t>---</w:t>
            </w:r>
            <w:r>
              <w:rPr>
                <w:rFonts w:hint="eastAsia" w:ascii="宋体" w:hAnsi="宋体" w:cs="宋体"/>
                <w:bCs/>
                <w:kern w:val="0"/>
              </w:rPr>
              <w:t xml:space="preserve"> 洽谈 </w:t>
            </w:r>
            <w:r>
              <w:rPr>
                <w:rFonts w:hint="eastAsia" w:ascii="宋体" w:hAnsi="宋体" w:cs="宋体"/>
                <w:bCs/>
                <w:kern w:val="0"/>
                <w:lang w:val="en-US" w:eastAsia="zh-CN"/>
              </w:rPr>
              <w:t>----</w:t>
            </w:r>
            <w:r>
              <w:rPr>
                <w:rFonts w:hint="eastAsia" w:ascii="宋体" w:hAnsi="宋体" w:cs="宋体"/>
                <w:bCs/>
                <w:kern w:val="0"/>
              </w:rPr>
              <w:t xml:space="preserve">  服务要求评审</w:t>
            </w:r>
            <w:r>
              <w:rPr>
                <w:rFonts w:hint="eastAsia" w:ascii="宋体" w:hAnsi="宋体" w:cs="宋体"/>
                <w:bCs/>
                <w:kern w:val="0"/>
                <w:lang w:val="en-US" w:eastAsia="zh-CN"/>
              </w:rPr>
              <w:t>----</w:t>
            </w:r>
            <w:r>
              <w:rPr>
                <w:rFonts w:hint="eastAsia" w:ascii="宋体" w:hAnsi="宋体" w:cs="宋体"/>
                <w:bCs/>
                <w:kern w:val="0"/>
              </w:rPr>
              <w:t xml:space="preserve"> 签订合同</w:t>
            </w:r>
            <w:r>
              <w:rPr>
                <w:rFonts w:hint="eastAsia" w:ascii="宋体" w:hAnsi="宋体" w:cs="宋体"/>
                <w:bCs/>
                <w:kern w:val="0"/>
                <w:lang w:val="en-US" w:eastAsia="zh-CN"/>
              </w:rPr>
              <w:t>-----</w:t>
            </w:r>
            <w:r>
              <w:rPr>
                <w:rFonts w:hint="eastAsia" w:ascii="宋体" w:hAnsi="宋体" w:cs="宋体"/>
                <w:bCs/>
                <w:kern w:val="0"/>
              </w:rPr>
              <w:t xml:space="preserve"> 组织货源    </w:t>
            </w:r>
          </w:p>
          <w:p>
            <w:pPr>
              <w:ind w:left="315" w:hanging="315" w:hangingChars="150"/>
              <w:rPr>
                <w:rFonts w:hint="eastAsia" w:ascii="宋体" w:hAnsi="宋体" w:cs="宋体"/>
                <w:bCs/>
                <w:kern w:val="0"/>
              </w:rPr>
            </w:pPr>
          </w:p>
          <w:p>
            <w:pPr>
              <w:ind w:left="315" w:hanging="315" w:hangingChars="150"/>
              <w:rPr>
                <w:rFonts w:ascii="宋体" w:hAnsi="宋体" w:cs="宋体"/>
                <w:bCs/>
                <w:kern w:val="0"/>
              </w:rPr>
            </w:pPr>
            <w:r>
              <w:rPr>
                <w:rFonts w:hint="eastAsia" w:ascii="宋体" w:hAnsi="宋体" w:cs="宋体"/>
                <w:bCs/>
                <w:kern w:val="0"/>
                <w:lang w:val="en-US" w:eastAsia="zh-CN"/>
              </w:rPr>
              <w:t>------</w:t>
            </w:r>
            <w:r>
              <w:rPr>
                <w:rFonts w:hint="eastAsia" w:ascii="宋体" w:hAnsi="宋体" w:cs="宋体"/>
                <w:bCs/>
                <w:kern w:val="0"/>
              </w:rPr>
              <w:t xml:space="preserve">产品交付 </w:t>
            </w:r>
            <w:r>
              <w:rPr>
                <w:rFonts w:hint="eastAsia" w:ascii="宋体" w:hAnsi="宋体" w:cs="宋体"/>
                <w:bCs/>
                <w:kern w:val="0"/>
                <w:lang w:val="en-US" w:eastAsia="zh-CN"/>
              </w:rPr>
              <w:t>----</w:t>
            </w:r>
            <w:r>
              <w:rPr>
                <w:rFonts w:hint="eastAsia" w:ascii="宋体" w:hAnsi="宋体" w:cs="宋体"/>
                <w:bCs/>
                <w:kern w:val="0"/>
              </w:rPr>
              <w:t xml:space="preserve">结算 </w:t>
            </w:r>
            <w:r>
              <w:rPr>
                <w:rFonts w:hint="eastAsia" w:ascii="宋体" w:hAnsi="宋体" w:cs="宋体"/>
                <w:bCs/>
                <w:kern w:val="0"/>
                <w:lang w:val="en-US" w:eastAsia="zh-CN"/>
              </w:rPr>
              <w:t>-----</w:t>
            </w:r>
            <w:r>
              <w:rPr>
                <w:rFonts w:hint="eastAsia" w:ascii="宋体" w:hAnsi="宋体" w:cs="宋体"/>
                <w:bCs/>
                <w:kern w:val="0"/>
              </w:rPr>
              <w:t>顾客满意度调查</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2022年09月06日 上午至2022年09月06日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紧固件、电力金具、电力铁附件的销售所涉及场所的相关环境管理活动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30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77"/>
        <w:gridCol w:w="1900"/>
        <w:gridCol w:w="660"/>
        <w:gridCol w:w="2320"/>
        <w:gridCol w:w="172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977" w:type="dxa"/>
            <w:shd w:val="clear" w:color="auto" w:fill="F3F3F3"/>
            <w:tcMar>
              <w:left w:w="57" w:type="dxa"/>
              <w:right w:w="57" w:type="dxa"/>
            </w:tcMar>
          </w:tcPr>
          <w:p>
            <w:r>
              <w:rPr>
                <w:rFonts w:hint="eastAsia"/>
              </w:rPr>
              <w:t>组织名称及注册场所地址</w:t>
            </w:r>
          </w:p>
        </w:tc>
        <w:tc>
          <w:tcPr>
            <w:tcW w:w="1900" w:type="dxa"/>
            <w:shd w:val="clear" w:color="auto" w:fill="F3F3F3"/>
            <w:tcMar>
              <w:left w:w="57" w:type="dxa"/>
              <w:right w:w="57" w:type="dxa"/>
            </w:tcMar>
          </w:tcPr>
          <w:p>
            <w:r>
              <w:rPr>
                <w:rFonts w:hint="eastAsia"/>
              </w:rPr>
              <w:t>经营场所的地址</w:t>
            </w:r>
          </w:p>
          <w:p>
            <w:r>
              <w:rPr>
                <w:rFonts w:hint="eastAsia"/>
              </w:rPr>
              <w:t>（多现场和临时现场）</w:t>
            </w:r>
          </w:p>
        </w:tc>
        <w:tc>
          <w:tcPr>
            <w:tcW w:w="660" w:type="dxa"/>
            <w:shd w:val="clear" w:color="auto" w:fill="F3F3F3"/>
            <w:tcMar>
              <w:left w:w="57" w:type="dxa"/>
              <w:right w:w="57" w:type="dxa"/>
            </w:tcMar>
          </w:tcPr>
          <w:p>
            <w:r>
              <w:rPr>
                <w:rFonts w:hint="eastAsia"/>
              </w:rPr>
              <w:t>员工人数</w:t>
            </w:r>
          </w:p>
        </w:tc>
        <w:tc>
          <w:tcPr>
            <w:tcW w:w="2320" w:type="dxa"/>
            <w:shd w:val="clear" w:color="auto" w:fill="F3F3F3"/>
            <w:tcMar>
              <w:left w:w="57" w:type="dxa"/>
              <w:right w:w="57" w:type="dxa"/>
            </w:tcMar>
          </w:tcPr>
          <w:p>
            <w:r>
              <w:rPr>
                <w:rFonts w:hint="eastAsia"/>
              </w:rPr>
              <w:t>审核范围（产品和过程）</w:t>
            </w:r>
          </w:p>
          <w:p/>
          <w:p/>
        </w:tc>
        <w:tc>
          <w:tcPr>
            <w:tcW w:w="172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977" w:type="dxa"/>
          </w:tcPr>
          <w:p>
            <w:pPr>
              <w:rPr>
                <w:lang w:val="de-DE" w:eastAsia="ja-JP"/>
              </w:rPr>
            </w:pPr>
            <w:r>
              <w:rPr>
                <w:sz w:val="21"/>
                <w:szCs w:val="21"/>
              </w:rPr>
              <w:t>河北鑫九龙电力器材制造有限公司</w:t>
            </w:r>
          </w:p>
        </w:tc>
        <w:tc>
          <w:tcPr>
            <w:tcW w:w="1900" w:type="dxa"/>
          </w:tcPr>
          <w:p>
            <w:pPr>
              <w:rPr>
                <w:lang w:val="de-DE" w:eastAsia="ja-JP"/>
              </w:rPr>
            </w:pPr>
            <w:r>
              <w:rPr>
                <w:rFonts w:asciiTheme="minorEastAsia" w:hAnsiTheme="minorEastAsia" w:eastAsiaTheme="minorEastAsia"/>
                <w:sz w:val="20"/>
              </w:rPr>
              <w:t>河北省邯郸市永年区临洺关镇娄山村</w:t>
            </w:r>
            <w:r>
              <w:rPr>
                <w:rFonts w:hint="eastAsia" w:asciiTheme="minorEastAsia" w:hAnsiTheme="minorEastAsia" w:eastAsiaTheme="minorEastAsia"/>
                <w:sz w:val="20"/>
                <w:lang w:val="en-US" w:eastAsia="zh-CN"/>
              </w:rPr>
              <w:t>东北</w:t>
            </w:r>
          </w:p>
        </w:tc>
        <w:tc>
          <w:tcPr>
            <w:tcW w:w="660" w:type="dxa"/>
            <w:vAlign w:val="center"/>
          </w:tcPr>
          <w:p>
            <w:pPr>
              <w:rPr>
                <w:rFonts w:hint="default" w:eastAsia="宋体"/>
                <w:lang w:val="en-US" w:eastAsia="zh-CN"/>
              </w:rPr>
            </w:pPr>
            <w:r>
              <w:rPr>
                <w:rFonts w:hint="eastAsia"/>
                <w:lang w:val="en-US" w:eastAsia="zh-CN"/>
              </w:rPr>
              <w:t>10</w:t>
            </w:r>
          </w:p>
        </w:tc>
        <w:tc>
          <w:tcPr>
            <w:tcW w:w="2320" w:type="dxa"/>
            <w:vAlign w:val="center"/>
          </w:tcPr>
          <w:p>
            <w:pPr>
              <w:rPr>
                <w:lang w:eastAsia="ja-JP"/>
              </w:rPr>
            </w:pPr>
            <w:r>
              <w:rPr>
                <w:sz w:val="20"/>
              </w:rPr>
              <w:t>紧固件、电力金具、电力铁附件的销售所涉及场所的相关环境管理活动</w:t>
            </w:r>
          </w:p>
        </w:tc>
        <w:tc>
          <w:tcPr>
            <w:tcW w:w="1720" w:type="dxa"/>
            <w:vAlign w:val="center"/>
          </w:tcPr>
          <w:p>
            <w:pPr>
              <w:jc w:val="left"/>
              <w:rPr>
                <w:rFonts w:ascii="宋体" w:hAnsi="宋体"/>
                <w:b/>
                <w:sz w:val="21"/>
                <w:szCs w:val="21"/>
              </w:rPr>
            </w:pPr>
            <w:r>
              <w:rPr>
                <w:rFonts w:hint="eastAsia" w:ascii="宋体" w:hAnsi="宋体"/>
                <w:b/>
                <w:sz w:val="21"/>
                <w:szCs w:val="21"/>
              </w:rPr>
              <w:t>GB/T24001-2016/ISO14001:2015</w:t>
            </w:r>
          </w:p>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977" w:type="dxa"/>
            <w:vAlign w:val="center"/>
          </w:tcPr>
          <w:p>
            <w:pPr>
              <w:rPr>
                <w:lang w:eastAsia="ja-JP"/>
              </w:rPr>
            </w:pPr>
            <w:r>
              <w:rPr>
                <w:rFonts w:asciiTheme="minorEastAsia" w:hAnsiTheme="minorEastAsia" w:eastAsiaTheme="minorEastAsia"/>
                <w:sz w:val="20"/>
              </w:rPr>
              <w:t>河北省邯郸市永年区临洺关镇娄山村村西（钛白路西侧）</w:t>
            </w:r>
          </w:p>
        </w:tc>
        <w:tc>
          <w:tcPr>
            <w:tcW w:w="1900" w:type="dxa"/>
            <w:vAlign w:val="center"/>
          </w:tcPr>
          <w:p>
            <w:pPr>
              <w:rPr>
                <w:lang w:eastAsia="ja-JP"/>
              </w:rPr>
            </w:pPr>
          </w:p>
        </w:tc>
        <w:tc>
          <w:tcPr>
            <w:tcW w:w="660" w:type="dxa"/>
            <w:vAlign w:val="center"/>
          </w:tcPr>
          <w:p>
            <w:pPr>
              <w:rPr>
                <w:lang w:eastAsia="ja-JP"/>
              </w:rPr>
            </w:pPr>
          </w:p>
        </w:tc>
        <w:tc>
          <w:tcPr>
            <w:tcW w:w="2320" w:type="dxa"/>
            <w:vAlign w:val="center"/>
          </w:tcPr>
          <w:p>
            <w:pPr>
              <w:rPr>
                <w:lang w:eastAsia="ja-JP"/>
              </w:rPr>
            </w:pPr>
          </w:p>
        </w:tc>
        <w:tc>
          <w:tcPr>
            <w:tcW w:w="172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977" w:type="dxa"/>
            <w:vAlign w:val="center"/>
          </w:tcPr>
          <w:p>
            <w:pPr>
              <w:rPr>
                <w:lang w:eastAsia="ja-JP"/>
              </w:rPr>
            </w:pPr>
          </w:p>
        </w:tc>
        <w:tc>
          <w:tcPr>
            <w:tcW w:w="1900" w:type="dxa"/>
            <w:vAlign w:val="center"/>
          </w:tcPr>
          <w:p>
            <w:pPr>
              <w:rPr>
                <w:lang w:eastAsia="ja-JP"/>
              </w:rPr>
            </w:pPr>
          </w:p>
        </w:tc>
        <w:tc>
          <w:tcPr>
            <w:tcW w:w="660" w:type="dxa"/>
            <w:vAlign w:val="center"/>
          </w:tcPr>
          <w:p>
            <w:pPr>
              <w:rPr>
                <w:lang w:eastAsia="ja-JP"/>
              </w:rPr>
            </w:pPr>
          </w:p>
        </w:tc>
        <w:tc>
          <w:tcPr>
            <w:tcW w:w="2320" w:type="dxa"/>
            <w:vAlign w:val="center"/>
          </w:tcPr>
          <w:p>
            <w:pPr>
              <w:rPr>
                <w:lang w:eastAsia="ja-JP"/>
              </w:rPr>
            </w:pPr>
          </w:p>
        </w:tc>
        <w:tc>
          <w:tcPr>
            <w:tcW w:w="172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977" w:type="dxa"/>
            <w:vAlign w:val="center"/>
          </w:tcPr>
          <w:p>
            <w:pPr>
              <w:rPr>
                <w:lang w:eastAsia="ja-JP"/>
              </w:rPr>
            </w:pPr>
          </w:p>
        </w:tc>
        <w:tc>
          <w:tcPr>
            <w:tcW w:w="1900" w:type="dxa"/>
            <w:vAlign w:val="center"/>
          </w:tcPr>
          <w:p>
            <w:pPr>
              <w:rPr>
                <w:lang w:eastAsia="ja-JP"/>
              </w:rPr>
            </w:pPr>
          </w:p>
        </w:tc>
        <w:tc>
          <w:tcPr>
            <w:tcW w:w="660" w:type="dxa"/>
            <w:vAlign w:val="center"/>
          </w:tcPr>
          <w:p>
            <w:pPr>
              <w:rPr>
                <w:lang w:eastAsia="ja-JP"/>
              </w:rPr>
            </w:pPr>
          </w:p>
        </w:tc>
        <w:tc>
          <w:tcPr>
            <w:tcW w:w="2320" w:type="dxa"/>
            <w:vAlign w:val="center"/>
          </w:tcPr>
          <w:p>
            <w:pPr>
              <w:rPr>
                <w:lang w:eastAsia="ja-JP"/>
              </w:rPr>
            </w:pPr>
          </w:p>
        </w:tc>
        <w:tc>
          <w:tcPr>
            <w:tcW w:w="172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977" w:type="dxa"/>
            <w:vAlign w:val="center"/>
          </w:tcPr>
          <w:p>
            <w:pPr>
              <w:rPr>
                <w:lang w:eastAsia="ja-JP"/>
              </w:rPr>
            </w:pPr>
          </w:p>
        </w:tc>
        <w:tc>
          <w:tcPr>
            <w:tcW w:w="1900" w:type="dxa"/>
            <w:vAlign w:val="center"/>
          </w:tcPr>
          <w:p>
            <w:pPr>
              <w:rPr>
                <w:lang w:eastAsia="ja-JP"/>
              </w:rPr>
            </w:pPr>
          </w:p>
        </w:tc>
        <w:tc>
          <w:tcPr>
            <w:tcW w:w="660" w:type="dxa"/>
            <w:vAlign w:val="center"/>
          </w:tcPr>
          <w:p>
            <w:pPr>
              <w:rPr>
                <w:lang w:eastAsia="ja-JP"/>
              </w:rPr>
            </w:pPr>
          </w:p>
        </w:tc>
        <w:tc>
          <w:tcPr>
            <w:tcW w:w="2320" w:type="dxa"/>
            <w:vAlign w:val="center"/>
          </w:tcPr>
          <w:p>
            <w:pPr>
              <w:rPr>
                <w:lang w:eastAsia="ja-JP"/>
              </w:rPr>
            </w:pPr>
          </w:p>
        </w:tc>
        <w:tc>
          <w:tcPr>
            <w:tcW w:w="1720"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2020-N1EMS-1263722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 xml:space="preserve"> 总经理变为王亮飞  管代变为王冲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lang w:eastAsia="zh-CN"/>
              </w:rPr>
              <w:t xml:space="preserve"> </w:t>
            </w:r>
            <w:r>
              <w:rPr>
                <w:rFonts w:hint="eastAsia"/>
                <w:lang w:val="en-US" w:eastAsia="zh-CN"/>
              </w:rPr>
              <w:t xml:space="preserve"> </w:t>
            </w:r>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pPr>
        <w:pStyle w:val="3"/>
      </w:pPr>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92150" cy="205740"/>
                  <wp:effectExtent l="0" t="0" r="6350" b="10160"/>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6"/>
                          <a:stretch>
                            <a:fillRect/>
                          </a:stretch>
                        </pic:blipFill>
                        <pic:spPr>
                          <a:xfrm>
                            <a:off x="0" y="0"/>
                            <a:ext cx="692150" cy="20574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2022.9.7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10"/>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审核周期</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体系要素</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组织环境</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firstLine="1260" w:firstLineChars="600"/>
                    <w:rPr>
                      <w:rFonts w:hint="default"/>
                    </w:rPr>
                  </w:pPr>
                </w:p>
              </w:tc>
              <w:tc>
                <w:tcPr>
                  <w:tcW w:w="7375" w:type="dxa"/>
                </w:tcPr>
                <w:p>
                  <w:pPr>
                    <w:keepNext w:val="0"/>
                    <w:keepLines w:val="0"/>
                    <w:suppressLineNumbers w:val="0"/>
                    <w:shd w:val="clear" w:color="auto" w:fill="EBF1DE" w:themeFill="accent3" w:themeFillTint="32"/>
                    <w:spacing w:before="0" w:beforeAutospacing="0" w:after="0" w:afterAutospacing="0"/>
                    <w:ind w:left="0" w:right="0" w:firstLine="420" w:firstLineChars="200"/>
                    <w:rPr>
                      <w:rFonts w:hint="default"/>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外部环境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内部环境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w:t>
                  </w:r>
                  <w:r>
                    <w:rPr>
                      <w:rFonts w:hint="eastAsia"/>
                    </w:rPr>
                    <w:sym w:font="Wingdings 2" w:char="00A3"/>
                  </w:r>
                  <w:r>
                    <w:rPr>
                      <w:rFonts w:hint="eastAsia"/>
                    </w:rPr>
                    <w:t xml:space="preserve">工艺 □设备 </w:t>
                  </w:r>
                  <w:r>
                    <w:rPr>
                      <w:rFonts w:hint="eastAsia"/>
                    </w:rPr>
                    <w:sym w:font="Wingdings 2" w:char="0052"/>
                  </w:r>
                  <w:r>
                    <w:rPr>
                      <w:rFonts w:hint="eastAsia"/>
                    </w:rPr>
                    <w:t xml:space="preserve">人员能力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default"/>
                    </w:rPr>
                    <w:t>活动、产品和服务</w:t>
                  </w:r>
                  <w:r>
                    <w:rPr>
                      <w:rFonts w:hint="eastAsia"/>
                    </w:rPr>
                    <w:t xml:space="preserve"> </w:t>
                  </w:r>
                  <w:r>
                    <w:rPr>
                      <w:rFonts w:hint="eastAsia"/>
                    </w:rPr>
                    <w:sym w:font="Wingdings 2" w:char="0052"/>
                  </w:r>
                  <w:r>
                    <w:rPr>
                      <w:rFonts w:hint="default"/>
                    </w:rPr>
                    <w:t>战略方向</w:t>
                  </w:r>
                  <w:r>
                    <w:rPr>
                      <w:rFonts w:hint="eastAsia"/>
                    </w:rPr>
                    <w:t xml:space="preserve"> □其他</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主管部门</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供方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顾客</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社区</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员工</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□投资方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□其他</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组织运用生命周期观点明确相关环境管理体系的范围；（详见第一条款审核范围）</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已将环境管理体系要求融入到其各项业务过程中，包括：</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A3"/>
            </w:r>
            <w:r>
              <w:rPr>
                <w:rFonts w:hint="eastAsia"/>
              </w:rPr>
              <w:t xml:space="preserve">检验 □仓库管理 </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A3"/>
            </w:r>
            <w:r>
              <w:rPr>
                <w:rFonts w:hint="eastAsia"/>
              </w:rPr>
              <w:t>环评三同时 □其他</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□危险废物处置 □消防检测 □生产/服务过程 □环保监测 </w:t>
            </w:r>
            <w:r>
              <w:rPr>
                <w:rFonts w:hint="eastAsia"/>
              </w:rPr>
              <w:sym w:font="Wingdings 2" w:char="0052"/>
            </w:r>
            <w:r>
              <w:rPr>
                <w:rFonts w:hint="eastAsia"/>
              </w:rPr>
              <w:t>产品运输 □设备维修</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□人员培训 □其他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领导作用</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1.安全第一、保障健康 质量为本、规范销售；减少污染、节能降耗  遵纪守法、持续改进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最高管理者确定了组织架构及相关岗位的职责、权限，并进行了全员的沟通和理解；</w:t>
            </w:r>
          </w:p>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rPr>
              <w:t>EMS的主管部门是——</w:t>
            </w:r>
            <w:r>
              <w:rPr>
                <w:rFonts w:hint="eastAsia"/>
                <w:lang w:val="en-US" w:eastAsia="zh-CN"/>
              </w:rPr>
              <w:t>办公室</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策划</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主要的风险或机遇描述</w:t>
                  </w: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应对措施</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default"/>
                    </w:rPr>
                  </w:pPr>
                  <w:r>
                    <w:rPr>
                      <w:rFonts w:hint="eastAsia"/>
                      <w:sz w:val="24"/>
                      <w:szCs w:val="24"/>
                    </w:rPr>
                    <w:t>相关环境法律法规</w:t>
                  </w:r>
                  <w:r>
                    <w:rPr>
                      <w:rFonts w:hint="eastAsia"/>
                      <w:sz w:val="24"/>
                      <w:szCs w:val="24"/>
                      <w:lang w:eastAsia="zh-CN"/>
                    </w:rPr>
                    <w:t>；</w:t>
                  </w:r>
                  <w:r>
                    <w:rPr>
                      <w:rFonts w:hint="eastAsia"/>
                      <w:sz w:val="24"/>
                      <w:szCs w:val="24"/>
                    </w:rPr>
                    <w:t>环境因素识别与控制</w:t>
                  </w:r>
                  <w:r>
                    <w:rPr>
                      <w:rFonts w:hint="eastAsia"/>
                      <w:sz w:val="24"/>
                      <w:szCs w:val="24"/>
                      <w:lang w:eastAsia="zh-CN"/>
                    </w:rPr>
                    <w:t>。</w:t>
                  </w:r>
                </w:p>
              </w:tc>
              <w:tc>
                <w:tcPr>
                  <w:tcW w:w="3965" w:type="dxa"/>
                  <w:vAlign w:val="center"/>
                </w:tcPr>
                <w:p>
                  <w:pPr>
                    <w:rPr>
                      <w:rFonts w:hint="eastAsia"/>
                      <w:sz w:val="24"/>
                      <w:szCs w:val="24"/>
                    </w:rPr>
                  </w:pPr>
                  <w:r>
                    <w:rPr>
                      <w:rFonts w:hint="eastAsia"/>
                      <w:sz w:val="24"/>
                      <w:szCs w:val="24"/>
                    </w:rPr>
                    <w:t>搜集相关环境法律法规，按规定执行</w:t>
                  </w:r>
                </w:p>
                <w:p>
                  <w:pPr>
                    <w:pStyle w:val="2"/>
                    <w:rPr>
                      <w:rFonts w:hint="eastAsia"/>
                      <w:lang w:val="en-US" w:eastAsia="zh-CN"/>
                    </w:rPr>
                  </w:pPr>
                </w:p>
              </w:tc>
              <w:tc>
                <w:tcPr>
                  <w:tcW w:w="1717" w:type="dxa"/>
                  <w:vAlign w:val="top"/>
                </w:tcPr>
                <w:p>
                  <w:pPr>
                    <w:keepNext w:val="0"/>
                    <w:keepLines w:val="0"/>
                    <w:suppressLineNumbers w:val="0"/>
                    <w:shd w:val="clear" w:color="auto" w:fill="EBF1DE" w:themeFill="accent3" w:themeFillTint="32"/>
                    <w:spacing w:before="0" w:beforeAutospacing="0" w:after="0" w:afterAutospacing="0"/>
                    <w:ind w:left="0" w:right="0"/>
                    <w:rPr>
                      <w:rFonts w:hint="default"/>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96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、异常状况和可合理预见的紧急情况。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制订了文件化的评价重要环境因素的准则，重要环境因素已识别，且对它们的重要性和对环境的影响被定期评审和更新。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重</w:t>
            </w:r>
            <w:r>
              <w:rPr>
                <w:rFonts w:hint="eastAsia" w:ascii="Times New Roman" w:hAnsi="Times New Roman" w:eastAsia="宋体" w:cs="Times New Roman"/>
              </w:rPr>
              <w:t>要环境因素包括</w:t>
            </w:r>
            <w:r>
              <w:rPr>
                <w:rFonts w:hint="eastAsia"/>
              </w:rPr>
              <w:t>(必要时，按每个场所来描述):（不必全选）</w:t>
            </w:r>
          </w:p>
          <w:p>
            <w:pPr>
              <w:keepNext w:val="0"/>
              <w:keepLines w:val="0"/>
              <w:suppressLineNumbers w:val="0"/>
              <w:shd w:val="clear" w:color="auto" w:fill="EBF1DE" w:themeFill="accent3" w:themeFillTint="32"/>
              <w:spacing w:before="40" w:beforeAutospacing="0" w:after="40" w:afterAutospacing="0"/>
              <w:ind w:left="0" w:right="0"/>
              <w:rPr>
                <w:rFonts w:hint="default"/>
                <w:highlight w:val="cyan"/>
              </w:rPr>
            </w:pPr>
            <w:r>
              <w:rPr>
                <w:rFonts w:hint="eastAsia"/>
              </w:rPr>
              <w:sym w:font="Wingdings 2" w:char="0052"/>
            </w:r>
            <w:r>
              <w:rPr>
                <w:rFonts w:hint="eastAsia"/>
              </w:rPr>
              <w:t xml:space="preserve">能源消耗  </w:t>
            </w:r>
            <w:r>
              <w:rPr>
                <w:rFonts w:hint="eastAsia"/>
              </w:rPr>
              <w:sym w:font="Wingdings 2" w:char="00A3"/>
            </w:r>
            <w:r>
              <w:rPr>
                <w:rFonts w:hint="eastAsia"/>
              </w:rPr>
              <w:t xml:space="preserve">资源消耗 </w:t>
            </w:r>
            <w:r>
              <w:rPr>
                <w:rFonts w:hint="eastAsia"/>
              </w:rPr>
              <w:sym w:font="Wingdings 2" w:char="00A3"/>
            </w:r>
            <w:r>
              <w:rPr>
                <w:rFonts w:hint="eastAsia"/>
              </w:rPr>
              <w:t xml:space="preserve">废水排放  </w:t>
            </w:r>
            <w:r>
              <w:rPr>
                <w:rFonts w:hint="eastAsia"/>
              </w:rPr>
              <w:sym w:font="Wingdings 2" w:char="00A3"/>
            </w:r>
            <w:r>
              <w:rPr>
                <w:rFonts w:hint="eastAsia"/>
              </w:rPr>
              <w:t xml:space="preserve">废气排放 </w:t>
            </w:r>
            <w:r>
              <w:rPr>
                <w:rFonts w:hint="eastAsia"/>
              </w:rPr>
              <w:sym w:font="Wingdings 2" w:char="00A3"/>
            </w:r>
            <w:r>
              <w:rPr>
                <w:rFonts w:hint="eastAsia"/>
              </w:rPr>
              <w:t xml:space="preserve">粉尘排放  </w:t>
            </w:r>
            <w:r>
              <w:rPr>
                <w:rFonts w:hint="eastAsia"/>
              </w:rPr>
              <w:sym w:font="Wingdings 2" w:char="0052"/>
            </w:r>
            <w:r>
              <w:rPr>
                <w:rFonts w:hint="eastAsia"/>
                <w:lang w:val="en-US" w:eastAsia="zh-CN"/>
              </w:rPr>
              <w:t>固体废弃物</w:t>
            </w:r>
            <w:r>
              <w:rPr>
                <w:rFonts w:hint="eastAsia"/>
              </w:rPr>
              <w:t xml:space="preserve">排放 </w:t>
            </w:r>
            <w:r>
              <w:rPr>
                <w:rFonts w:hint="eastAsia"/>
              </w:rPr>
              <w:sym w:font="Wingdings 2" w:char="00A3"/>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组织定期确定并获取</w:t>
            </w:r>
            <w:r>
              <w:rPr>
                <w:rFonts w:hint="eastAsia"/>
              </w:rPr>
              <w:t>了</w:t>
            </w:r>
            <w:r>
              <w:rPr>
                <w:rFonts w:hint="default"/>
              </w:rPr>
              <w:t>与其环境因素有关的</w:t>
            </w:r>
            <w:r>
              <w:rPr>
                <w:rFonts w:hint="eastAsia"/>
              </w:rPr>
              <w:t>文件化的</w:t>
            </w:r>
            <w:r>
              <w:rPr>
                <w:rFonts w:hint="default"/>
              </w:rPr>
              <w:t>合规义务； 将这些合规义务应用于组织； 在建立、实施、保持和持续改进其环境管理体系时必须考虑这些合规义务。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w:t>
            </w:r>
            <w:r>
              <w:rPr>
                <w:rFonts w:hint="eastAsia"/>
              </w:rPr>
              <w:t>提供了</w:t>
            </w:r>
            <w:r>
              <w:rPr>
                <w:rFonts w:hint="default"/>
              </w:rPr>
              <w:t>下列许可和授权(必要时，按每个场所来描述):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□安全生产许可证编号：</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排污许可证编号：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□环境影响登记表日期：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环境影响报告表日期：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环境</w:t>
            </w:r>
            <w:r>
              <w:rPr>
                <w:rFonts w:hint="eastAsia"/>
                <w:lang w:val="en-US" w:eastAsia="zh-CN"/>
              </w:rPr>
              <w:t>保护验收报告</w:t>
            </w:r>
            <w:r>
              <w:rPr>
                <w:rFonts w:hint="eastAsia"/>
              </w:rPr>
              <w:t>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□消防验收/备案证明日期：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组织策划并采取措施管理其重要环境因素、合规义务和识别的风险和机遇；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A3"/>
            </w:r>
            <w:r>
              <w:rPr>
                <w:rFonts w:hint="eastAsia"/>
              </w:rPr>
              <w:t xml:space="preserve">使用节能设备  </w:t>
            </w:r>
            <w:r>
              <w:rPr>
                <w:rFonts w:hint="eastAsia"/>
              </w:rPr>
              <w:sym w:font="Wingdings 2" w:char="00A3"/>
            </w:r>
            <w:r>
              <w:rPr>
                <w:rFonts w:hint="eastAsia"/>
              </w:rPr>
              <w:t xml:space="preserve">危化品控制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环境目标</w:t>
                  </w:r>
                </w:p>
              </w:tc>
              <w:tc>
                <w:tcPr>
                  <w:tcW w:w="3136"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控制措施</w:t>
                  </w:r>
                </w:p>
              </w:tc>
              <w:tc>
                <w:tcPr>
                  <w:tcW w:w="1350"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责任部门</w:t>
                  </w:r>
                </w:p>
              </w:tc>
              <w:tc>
                <w:tcPr>
                  <w:tcW w:w="1774"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numPr>
                      <w:ilvl w:val="0"/>
                      <w:numId w:val="0"/>
                    </w:numPr>
                    <w:suppressLineNumbers w:val="0"/>
                    <w:ind w:left="0" w:leftChars="0" w:firstLine="0" w:firstLineChars="0"/>
                    <w:jc w:val="left"/>
                    <w:textAlignment w:val="center"/>
                    <w:rPr>
                      <w:rFonts w:hint="default"/>
                    </w:rPr>
                  </w:pPr>
                  <w:r>
                    <w:rPr>
                      <w:rFonts w:hint="eastAsia" w:ascii="华文楷体" w:hAnsi="华文楷体" w:eastAsia="华文楷体" w:cs="华文楷体"/>
                      <w:sz w:val="24"/>
                      <w:szCs w:val="24"/>
                    </w:rPr>
                    <w:t>固体废弃物100％分类处置；</w:t>
                  </w:r>
                </w:p>
              </w:tc>
              <w:tc>
                <w:tcPr>
                  <w:tcW w:w="3136" w:type="dxa"/>
                  <w:shd w:val="clear" w:color="auto" w:fill="auto"/>
                  <w:vAlign w:val="center"/>
                </w:tcPr>
                <w:p>
                  <w:pPr>
                    <w:keepNext w:val="0"/>
                    <w:keepLines w:val="0"/>
                    <w:widowControl/>
                    <w:suppressLineNumbers w:val="0"/>
                    <w:jc w:val="left"/>
                    <w:textAlignment w:val="center"/>
                    <w:rPr>
                      <w:rFonts w:hint="default"/>
                      <w:lang w:val="en-GB"/>
                    </w:rPr>
                  </w:pPr>
                  <w:r>
                    <w:rPr>
                      <w:rFonts w:hint="eastAsia" w:ascii="宋体" w:hAnsi="宋体" w:eastAsia="宋体" w:cs="宋体"/>
                      <w:i w:val="0"/>
                      <w:iCs w:val="0"/>
                      <w:color w:val="000000"/>
                      <w:kern w:val="0"/>
                      <w:sz w:val="20"/>
                      <w:szCs w:val="20"/>
                      <w:u w:val="none"/>
                      <w:lang w:val="en-US" w:eastAsia="zh-CN" w:bidi="ar"/>
                    </w:rPr>
                    <w:t>实际处理的次数/规定需处理的次数*100%</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eastAsia" w:ascii="宋体" w:hAnsi="宋体" w:eastAsia="宋体" w:cs="Times New Roman"/>
                      <w:kern w:val="2"/>
                      <w:sz w:val="21"/>
                      <w:szCs w:val="24"/>
                      <w:lang w:val="en-US" w:eastAsia="zh-CN" w:bidi="ar-SA"/>
                    </w:rPr>
                  </w:pPr>
                  <w:r>
                    <w:rPr>
                      <w:rFonts w:hint="eastAsia" w:ascii="宋体" w:hAnsi="宋体" w:cs="黑体"/>
                      <w:kern w:val="0"/>
                      <w:sz w:val="24"/>
                    </w:rPr>
                    <w:t>火灾事故发生率为零</w:t>
                  </w:r>
                  <w:r>
                    <w:rPr>
                      <w:rFonts w:hint="eastAsia" w:ascii="宋体" w:hAnsi="宋体" w:cs="黑体"/>
                      <w:kern w:val="0"/>
                      <w:sz w:val="24"/>
                      <w:lang w:val="en-US" w:eastAsia="zh-CN"/>
                    </w:rPr>
                    <w:t>;</w:t>
                  </w:r>
                </w:p>
              </w:tc>
              <w:tc>
                <w:tcPr>
                  <w:tcW w:w="3136" w:type="dxa"/>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以实际发生为准进行计数</w:t>
                  </w: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各部门</w:t>
                  </w: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1"/>
                      <w:szCs w:val="21"/>
                      <w:lang w:val="en-US" w:eastAsia="zh-CN" w:bidi="ar-SA"/>
                    </w:rPr>
                  </w:pPr>
                </w:p>
              </w:tc>
              <w:tc>
                <w:tcPr>
                  <w:tcW w:w="13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c>
                <w:tcPr>
                  <w:tcW w:w="1774"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目标已实现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支持</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组织的资源状况：</w:t>
            </w:r>
            <w:r>
              <w:rPr>
                <w:rFonts w:hint="eastAsia"/>
              </w:rPr>
              <w:sym w:font="Wingdings 2" w:char="0052"/>
            </w:r>
            <w:r>
              <w:rPr>
                <w:rFonts w:hint="eastAsia"/>
              </w:rPr>
              <w:t xml:space="preserve">人力资源 </w:t>
            </w:r>
            <w:r>
              <w:rPr>
                <w:rFonts w:hint="eastAsia" w:ascii="Wingdings" w:hAnsi="Wingdings"/>
              </w:rPr>
              <w:t>¨</w:t>
            </w:r>
            <w:r>
              <w:rPr>
                <w:rFonts w:hint="eastAsia"/>
              </w:rPr>
              <w:t xml:space="preserve">自然资源 </w:t>
            </w:r>
            <w:r>
              <w:rPr>
                <w:rFonts w:hint="eastAsia"/>
              </w:rPr>
              <w:sym w:font="Wingdings 2" w:char="0052"/>
            </w:r>
            <w:r>
              <w:rPr>
                <w:rFonts w:hint="eastAsia"/>
              </w:rPr>
              <w:t xml:space="preserve">基础设施  </w:t>
            </w:r>
            <w:r>
              <w:rPr>
                <w:rFonts w:hint="eastAsia" w:ascii="Wingdings" w:hAnsi="Wingdings"/>
              </w:rPr>
              <w:t>¨</w:t>
            </w:r>
            <w:r>
              <w:rPr>
                <w:rFonts w:hint="eastAsia"/>
              </w:rPr>
              <w:t xml:space="preserve">技术  </w:t>
            </w:r>
            <w:r>
              <w:rPr>
                <w:rFonts w:hint="eastAsia"/>
              </w:rPr>
              <w:sym w:font="Wingdings 2" w:char="0052"/>
            </w:r>
            <w:r>
              <w:rPr>
                <w:rFonts w:hint="eastAsia"/>
              </w:rPr>
              <w:t>财务资源。</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现有内部资源的能力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vAlign w:val="top"/>
          </w:tcPr>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ascii="Times New Roman" w:hAnsi="Times New Roman" w:eastAsia="宋体" w:cs="Times New Roman"/>
              </w:rPr>
            </w:pPr>
            <w:r>
              <w:rPr>
                <w:rFonts w:hint="eastAsia" w:cs="Times New Roman"/>
                <w:lang w:val="en-US" w:eastAsia="zh-CN"/>
              </w:rPr>
              <w:t>办公室面积</w:t>
            </w:r>
            <w:r>
              <w:rPr>
                <w:rFonts w:hint="eastAsia" w:ascii="Times New Roman" w:hAnsi="Times New Roman" w:eastAsia="宋体" w:cs="Times New Roman"/>
                <w:lang w:val="en-US" w:eastAsia="zh-CN"/>
              </w:rPr>
              <w:t>约3</w:t>
            </w:r>
            <w:r>
              <w:rPr>
                <w:rFonts w:hint="eastAsia" w:cs="Times New Roman"/>
                <w:lang w:val="en-US" w:eastAsia="zh-CN"/>
              </w:rPr>
              <w:t>0</w:t>
            </w:r>
            <w:r>
              <w:rPr>
                <w:rFonts w:hint="eastAsia" w:ascii="Times New Roman" w:hAnsi="Times New Roman" w:eastAsia="宋体" w:cs="Times New Roman"/>
              </w:rPr>
              <w:t>平方米；</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主要</w:t>
            </w:r>
            <w:r>
              <w:rPr>
                <w:rFonts w:hint="eastAsia" w:cs="Times New Roman"/>
                <w:lang w:val="en-US" w:eastAsia="zh-CN"/>
              </w:rPr>
              <w:t>办公</w:t>
            </w:r>
            <w:r>
              <w:rPr>
                <w:rFonts w:hint="eastAsia" w:ascii="Times New Roman" w:hAnsi="Times New Roman" w:eastAsia="宋体" w:cs="Times New Roman"/>
              </w:rPr>
              <w:t xml:space="preserve">设备有： </w:t>
            </w:r>
            <w:r>
              <w:rPr>
                <w:rFonts w:hint="eastAsia" w:cs="Times New Roman"/>
                <w:lang w:val="en-US" w:eastAsia="zh-CN"/>
              </w:rPr>
              <w:t>电脑、工作桌</w:t>
            </w:r>
            <w:r>
              <w:rPr>
                <w:rFonts w:hint="eastAsia" w:ascii="Times New Roman" w:hAnsi="Times New Roman" w:eastAsia="宋体" w:cs="Times New Roman"/>
              </w:rPr>
              <w:t xml:space="preserve"> </w:t>
            </w:r>
            <w:r>
              <w:rPr>
                <w:rFonts w:hint="eastAsia" w:cs="Times New Roman"/>
                <w:lang w:eastAsia="zh-CN"/>
              </w:rPr>
              <w:t>、</w:t>
            </w:r>
            <w:r>
              <w:rPr>
                <w:rFonts w:hint="eastAsia" w:cs="Times New Roman"/>
                <w:lang w:val="en-US" w:eastAsia="zh-CN"/>
              </w:rPr>
              <w:t>打印机等</w:t>
            </w:r>
            <w:r>
              <w:rPr>
                <w:rFonts w:hint="eastAsia" w:ascii="Times New Roman" w:hAnsi="Times New Roman" w:eastAsia="宋体" w:cs="Times New Roman"/>
              </w:rPr>
              <w:t xml:space="preserve"> （列举2~4种）</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特种设备：叉车 ¨行车 锅炉 电梯  ¨压力容器  ¨压力管道  ¨不适用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特种设备管理：进行了定期检验  ¨未进行定期检验的有：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sym w:font="Wingdings 2" w:char="00A3"/>
            </w: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基础设施可满足质量管理体系运行；</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 xml:space="preserve">基础设施可基本满足质量管理体系运行，但是还有不足需要补充：           </w:t>
            </w:r>
          </w:p>
          <w:p>
            <w:pPr>
              <w:shd w:val="clear" w:color="auto" w:fill="EBF1DE" w:themeFill="accent3" w:themeFillTint="32"/>
              <w:rPr>
                <w:rFonts w:hint="default"/>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计量器具的</w:t>
            </w:r>
            <w:r>
              <w:rPr>
                <w:rFonts w:hint="default"/>
              </w:rPr>
              <w:t>测量溯源</w:t>
            </w:r>
            <w:r>
              <w:rPr>
                <w:rFonts w:hint="eastAsia"/>
              </w:rPr>
              <w:t xml:space="preserve">方法：  </w:t>
            </w:r>
            <w:r>
              <w:rPr>
                <w:rFonts w:hint="eastAsia" w:ascii="Wingdings" w:hAnsi="Wingdings"/>
              </w:rPr>
              <w:t>¨</w:t>
            </w:r>
            <w:r>
              <w:rPr>
                <w:rFonts w:hint="eastAsia"/>
              </w:rPr>
              <w:t xml:space="preserve">自校   外校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组织已确定在其控制的工作人员所需具备的能力，并采取措施以获得所需的能力，并评价措施的有效性；</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对国家规定持证上岗的人员资质进行了有效的管理。</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特种设备作业人员：叉车工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通过</w:t>
            </w:r>
            <w:r>
              <w:rPr>
                <w:rFonts w:hint="eastAsia" w:ascii="Times New Roman" w:hAnsi="Times New Roman" w:eastAsia="宋体" w:cs="Times New Roman"/>
              </w:rPr>
              <w:t>■</w:t>
            </w:r>
            <w:r>
              <w:rPr>
                <w:rFonts w:hint="eastAsia"/>
              </w:rPr>
              <w:t xml:space="preserve">会议传达 标语  </w:t>
            </w:r>
            <w:r>
              <w:rPr>
                <w:rFonts w:hint="eastAsia" w:ascii="Times New Roman" w:hAnsi="Times New Roman" w:eastAsia="宋体" w:cs="Times New Roman"/>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组织已确定与环境管理体系相关的内部和外部沟通。</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内部沟通方式：■文件发放 ■会议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外部沟通方式：■宣传材料 </w:t>
            </w:r>
            <w:r>
              <w:rPr>
                <w:rFonts w:hint="eastAsia" w:ascii="Times New Roman" w:hAnsi="Times New Roman" w:eastAsia="宋体" w:cs="Times New Roman"/>
              </w:rPr>
              <w:t>■</w:t>
            </w:r>
            <w:r>
              <w:rPr>
                <w:rFonts w:hint="eastAsia"/>
              </w:rPr>
              <w:t xml:space="preserve">网站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组织已建立了文件化的环境管理体系。对自编文件的编制、审批、发放、变更和作废进行了控制。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对环境相关的外来文件（法律法规、产品标准）进行了识别和贯彻。</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运行</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hd w:val="clear" w:color="auto" w:fill="EBF1DE" w:themeFill="accent3" w:themeFillTint="32"/>
              <w:spacing w:before="0" w:beforeAutospacing="0" w:after="0" w:afterAutospacing="0"/>
              <w:ind w:left="0" w:right="0"/>
              <w:rPr>
                <w:rFonts w:hint="default"/>
                <w:highlight w:val="yellow"/>
              </w:rPr>
            </w:pPr>
            <w:r>
              <w:rPr>
                <w:rFonts w:hint="eastAsia"/>
              </w:rPr>
              <w:t xml:space="preserve"> ■</w:t>
            </w:r>
            <w:r>
              <w:rPr>
                <w:rFonts w:hint="eastAsia"/>
                <w:lang w:val="en-US" w:eastAsia="zh-CN"/>
              </w:rPr>
              <w:t>服务</w:t>
            </w:r>
            <w:r>
              <w:rPr>
                <w:rFonts w:hint="eastAsia"/>
              </w:rPr>
              <w:t xml:space="preserve">流程图 ■作业文件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组织建立并实施了与顾客沟通；如产品和服务的环境信息、顾客财产、应急措施等。</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组织对产品和服务的环境要求进行了评审，确保有能力向顾客提供满足要求的产品和服务。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组织建立、实施和保持了适当的设计和开发过程，以确保后续的产品和服务的提供中满足环境相关的法律法规。（适用时）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对该设计和开发的项目对环境因素进行了识别和评价，并制订了控制措施。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设计和开发的环境因素控制：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组织对外部提供的过程、产品（危化品）和服务的供方按照对环境因素的影响程度实施控制。</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设备维保  ■运输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控制方式：■合同约定 </w:t>
            </w:r>
            <w:r>
              <w:rPr>
                <w:rFonts w:hint="eastAsia" w:ascii="Wingdings" w:hAnsi="Wingdings"/>
              </w:rPr>
              <w:t>¨</w:t>
            </w:r>
            <w:r>
              <w:rPr>
                <w:rFonts w:hint="eastAsia"/>
              </w:rPr>
              <w:t xml:space="preserve">危害告知  ■现场检查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对外部供方的控制：■符合要求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重要环境因素</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控制措施</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r>
                    <w:rPr>
                      <w:rFonts w:hint="eastAsia" w:ascii="宋体" w:hAnsi="宋体" w:cs="宋体"/>
                      <w:bCs/>
                      <w:kern w:val="0"/>
                      <w:sz w:val="24"/>
                    </w:rPr>
                    <w:t>水电、办公用品的消耗</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 xml:space="preserve"> 加强管理考核</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r>
                    <w:rPr>
                      <w:rFonts w:hint="eastAsia"/>
                    </w:rPr>
                    <w:t>火灾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运行检查，查出消防隐患及时整改</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ascii="宋体" w:hAnsi="宋体" w:cs="宋体"/>
                      <w:bCs/>
                      <w:kern w:val="0"/>
                      <w:sz w:val="24"/>
                    </w:rPr>
                    <w:t>包装、残次品等的废弃</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eastAsia="宋体"/>
                      <w:lang w:val="en-US" w:eastAsia="zh-CN"/>
                    </w:rPr>
                    <w:t>加强管理</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对生产和服务提供过程的环境因素控制■符合要求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组织对生产设备、环保设备、特种设备制订了计划进行了定期的检查、保养和维修；运行完好</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组织在生产和服务提供的整个过程中对危化品特性的进行了标识。</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采用的标识方式：</w:t>
            </w:r>
            <w:r>
              <w:rPr>
                <w:rFonts w:hint="eastAsia" w:ascii="Wingdings" w:hAnsi="Wingdings"/>
              </w:rPr>
              <w:t>¨</w:t>
            </w:r>
            <w:r>
              <w:rPr>
                <w:rFonts w:hint="eastAsia"/>
              </w:rPr>
              <w:t xml:space="preserve">MSDS 危害告知标牌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组织应在生产和服务提供期间对危化品的采购、运输、使用、储存的环境因素进行控制，以确保符合MSDS和法规要求。 </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危化品：符合要求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组织对产品和服务交付后活动的要求。 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制订的应急预案包括：</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lang w:val="en-US" w:eastAsia="zh-CN"/>
              </w:rPr>
              <w:t>7</w:t>
            </w:r>
            <w:r>
              <w:rPr>
                <w:rFonts w:hint="eastAsia"/>
              </w:rPr>
              <w:t>月</w:t>
            </w:r>
            <w:r>
              <w:rPr>
                <w:rFonts w:hint="eastAsia"/>
                <w:u w:val="single"/>
              </w:rPr>
              <w:t xml:space="preserve"> </w:t>
            </w:r>
            <w:r>
              <w:rPr>
                <w:rFonts w:hint="eastAsia"/>
                <w:u w:val="single"/>
                <w:lang w:val="en-US" w:eastAsia="zh-CN"/>
              </w:rPr>
              <w:t>26</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ascii="宋体" w:hAnsi="宋体" w:cs="宋体"/>
                <w:color w:val="000000" w:themeColor="text1"/>
                <w:szCs w:val="21"/>
              </w:rPr>
              <w:t>消防演练</w:t>
            </w:r>
            <w:r>
              <w:rPr>
                <w:rFonts w:hint="eastAsia"/>
              </w:rPr>
              <w:t xml:space="preserve">；并总结了预案的可行性和有效性。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定期评审并修订过程和策划的响应措施，特别是发生紧急情况后或进行试验后；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向环境有关的相关方，包括在组织控制下工作的人员提供应急准备和响应相关的信息和培训。</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绩效评价</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组织已分析和评价通过监视和测量获得的适当的数据和信息。</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组织已建立、实施并保持评价其合规义务履行情况所需的过程。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实施合规性评价的时间：</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组织在适当阶段实施策划的安排，以验证环境法律法规的要求已得到满足。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实施的检测：企业自检 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w:t>
            </w:r>
            <w:r>
              <w:rPr>
                <w:rFonts w:hint="eastAsia"/>
                <w:lang w:val="en-US" w:eastAsia="zh-CN"/>
              </w:rPr>
              <w:t>检测</w:t>
            </w:r>
            <w:r>
              <w:rPr>
                <w:rFonts w:hint="eastAsia"/>
              </w:rPr>
              <w:t>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《建筑消防检测报告》编号：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达标评价：符合要求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26</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eastAsia"/>
              </w:rPr>
            </w:pPr>
            <w:r>
              <w:rPr>
                <w:rFonts w:hint="eastAsia"/>
              </w:rPr>
              <w:t>改进</w:t>
            </w:r>
          </w:p>
          <w:p>
            <w:pPr>
              <w:pStyle w:val="2"/>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组织针对环境管理体系运行中的不符合采取了有效纠正和纠正措施。针对下列方面采取了纠正措施：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检测结果不合格 ■自我检查的结果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组织持续改进了环境管理体系的适宜性、充分性与有效性，以提升环境绩效。</w:t>
            </w:r>
          </w:p>
        </w:tc>
      </w:tr>
    </w:tbl>
    <w:tbl>
      <w:tblPr>
        <w:tblStyle w:val="9"/>
        <w:tblpPr w:leftFromText="180" w:rightFromText="180" w:vertAnchor="text" w:horzAnchor="page" w:tblpX="1078" w:tblpY="102"/>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9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
      <w:pPr>
        <w:shd w:val="clear" w:color="auto" w:fill="EBF1DE" w:themeFill="accent3" w:themeFillTint="32"/>
      </w:pPr>
      <w:r>
        <w:t xml:space="preserve">*评价: </w:t>
      </w:r>
      <w:r>
        <w:tab/>
      </w:r>
      <w:r>
        <w:t>1 = 符合</w:t>
      </w:r>
      <w:bookmarkStart w:id="34" w:name="_GoBack"/>
      <w:bookmarkEnd w:id="34"/>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sz w:val="20"/>
          <w:szCs w:val="20"/>
        </w:rPr>
      </w:pPr>
      <w:r>
        <w:tab/>
      </w:r>
      <w:r>
        <w:tab/>
      </w:r>
      <w:r>
        <w:t>4 =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4NjI5OTBmMDM1ODFlMDkzNDFlZTFiMWNhZWU5ZTMifQ=="/>
  </w:docVars>
  <w:rsids>
    <w:rsidRoot w:val="00000000"/>
    <w:rsid w:val="11402321"/>
    <w:rsid w:val="1F8A2A58"/>
    <w:rsid w:val="25D81431"/>
    <w:rsid w:val="2B4C75CA"/>
    <w:rsid w:val="3005687C"/>
    <w:rsid w:val="399A7CBE"/>
    <w:rsid w:val="3CD13DD3"/>
    <w:rsid w:val="691C5825"/>
    <w:rsid w:val="6AA216DA"/>
    <w:rsid w:val="726D18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2022-09-06T08:14:11Z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