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岐山振兴现代锻造有限公司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0818-2021-2022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0818-2021-2022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岐山振兴现代锻造有限公司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刘强</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ISC-2021-1098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2026.8.30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2022年09月07日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李俐 </w:t>
            </w:r>
            <w:r>
              <w:rPr>
                <w:rFonts w:ascii="宋体" w:hAnsi="宋体" w:eastAsia="宋体" w:cs="Times New Roman"/>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40"/>
              </w:tabs>
              <w:spacing w:before="17"/>
              <w:ind w:right="-20"/>
              <w:rPr>
                <w:rFonts w:cs="宋体" w:asciiTheme="minorEastAsia" w:hAnsiTheme="minorEastAsia"/>
                <w:kern w:val="0"/>
                <w:szCs w:val="21"/>
              </w:rPr>
            </w:pPr>
            <w:r>
              <w:rPr>
                <w:rFonts w:hint="eastAsia" w:ascii="宋体" w:hAnsi="宋体" w:eastAsia="宋体" w:cs="宋体"/>
                <w:szCs w:val="21"/>
                <w:lang w:val="en-US" w:eastAsia="zh-CN"/>
              </w:rPr>
              <w:t>供销部、</w:t>
            </w:r>
            <w:r>
              <w:rPr>
                <w:rFonts w:hint="eastAsia" w:ascii="宋体" w:hAnsi="宋体" w:eastAsia="宋体" w:cs="宋体"/>
                <w:szCs w:val="21"/>
              </w:rPr>
              <w:t>综合办</w:t>
            </w:r>
            <w:r>
              <w:rPr>
                <w:rFonts w:hint="eastAsia" w:ascii="宋体" w:hAnsi="宋体" w:eastAsia="宋体" w:cs="宋体"/>
                <w:szCs w:val="21"/>
                <w:lang w:eastAsia="zh-CN"/>
              </w:rPr>
              <w:t>、</w:t>
            </w:r>
            <w:r>
              <w:rPr>
                <w:rFonts w:hint="eastAsia" w:ascii="宋体" w:hAnsi="宋体" w:eastAsia="宋体" w:cs="宋体"/>
                <w:szCs w:val="21"/>
                <w:lang w:val="en-US" w:eastAsia="zh-CN"/>
              </w:rPr>
              <w:t>技术质量部、生产部及生产车间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spacing w:line="360" w:lineRule="auto"/>
        <w:ind w:firstLine="420" w:firstLineChars="200"/>
        <w:rPr>
          <w:color w:val="000000" w:themeColor="text1"/>
          <w:kern w:val="0"/>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8</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公司于2022年7月12-13日 ，组织了公司测量管理体系内部审核，管理者代表蔡会敏为审核组长，对公司行政部、生产部、技术质量部、供销部和生产车间进行了审核，共发现了1个不符合项，并在7月20日完成了整改。</w:t>
      </w:r>
    </w:p>
    <w:p>
      <w:pPr>
        <w:widowControl/>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ascii="宋体" w:cs="宋体"/>
          <w:color w:val="000000" w:themeColor="text1"/>
          <w:kern w:val="0"/>
          <w:szCs w:val="21"/>
          <w:lang w:val="en-US" w:eastAsia="zh-CN"/>
        </w:rPr>
        <w:t>公司于</w:t>
      </w:r>
      <w:r>
        <w:rPr>
          <w:rFonts w:hint="eastAsia" w:ascii="宋体" w:hAnsi="宋体" w:eastAsia="宋体" w:cs="宋体"/>
          <w:color w:val="000000" w:themeColor="text1"/>
          <w:szCs w:val="21"/>
          <w:lang w:val="en-US" w:eastAsia="zh-CN"/>
        </w:rPr>
        <w:t>2022年7月25日</w:t>
      </w:r>
      <w:r>
        <w:rPr>
          <w:rFonts w:hint="eastAsia" w:ascii="宋体" w:cs="宋体"/>
          <w:color w:val="000000" w:themeColor="text1"/>
          <w:kern w:val="0"/>
          <w:szCs w:val="21"/>
          <w:lang w:val="en-US" w:eastAsia="zh-CN"/>
        </w:rPr>
        <w:t>进行了测量管理体系管理评审由最高管理者总经理</w:t>
      </w:r>
      <w:r>
        <w:rPr>
          <w:rFonts w:hint="eastAsia" w:ascii="宋体" w:hAnsi="宋体" w:cs="宋体"/>
          <w:color w:val="000000" w:themeColor="text1"/>
          <w:kern w:val="0"/>
          <w:szCs w:val="21"/>
          <w:lang w:val="en-US" w:eastAsia="zh-CN"/>
        </w:rPr>
        <w:t>刘保良</w:t>
      </w:r>
      <w:r>
        <w:rPr>
          <w:rFonts w:hint="eastAsia" w:ascii="宋体" w:cs="宋体"/>
          <w:color w:val="000000" w:themeColor="text1"/>
          <w:kern w:val="0"/>
          <w:szCs w:val="21"/>
          <w:lang w:val="en-US" w:eastAsia="zh-CN"/>
        </w:rPr>
        <w:t>主持各个部门汇报了体系运行一年的情况，管理者代表蔡会敏作了体系运行的总结报告，</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lang w:eastAsia="zh-CN"/>
        </w:rPr>
        <w:t>，</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r>
        <w:rPr>
          <w:rFonts w:hint="eastAsia"/>
          <w:color w:val="000000" w:themeColor="text1"/>
          <w:szCs w:val="21"/>
          <w:lang w:eastAsia="zh-CN"/>
        </w:rPr>
        <w:t>，</w:t>
      </w:r>
      <w:r>
        <w:rPr>
          <w:rFonts w:hint="eastAsia" w:ascii="宋体" w:cs="宋体"/>
          <w:color w:val="000000" w:themeColor="text1"/>
          <w:kern w:val="0"/>
          <w:szCs w:val="21"/>
          <w:lang w:val="en-US" w:eastAsia="zh-CN"/>
        </w:rPr>
        <w:t>并对下一年度测量管理体系的运行做出了安排。</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szCs w:val="21"/>
          <w:lang w:eastAsia="zh-CN"/>
        </w:rPr>
        <w:t>12JSD200T-1707030副箱驱动齿轮外径</w:t>
      </w:r>
      <w:r>
        <w:rPr>
          <w:rFonts w:hint="eastAsia" w:ascii="宋体" w:hAnsi="宋体"/>
          <w:color w:val="000000" w:themeColor="text1"/>
          <w:szCs w:val="21"/>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12JSD200T-1707030副箱驱动齿轮外径</w:t>
      </w:r>
      <w:r>
        <w:rPr>
          <w:rFonts w:hint="eastAsia" w:ascii="宋体" w:hAnsi="宋体"/>
          <w:color w:val="000000" w:themeColor="text1"/>
          <w:szCs w:val="21"/>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szCs w:val="21"/>
          <w:lang w:eastAsia="zh-CN"/>
        </w:rPr>
        <w:t>12JSD200T-1707030副箱驱动齿轮外径</w:t>
      </w:r>
      <w:r>
        <w:rPr>
          <w:rFonts w:hint="eastAsia" w:ascii="宋体" w:hAnsi="宋体"/>
          <w:color w:val="000000" w:themeColor="text1"/>
          <w:szCs w:val="21"/>
        </w:rPr>
        <w:t>测量过程</w:t>
      </w:r>
      <w:r>
        <w:rPr>
          <w:rFonts w:hint="eastAsia"/>
          <w:color w:val="000000" w:themeColor="text1"/>
        </w:rPr>
        <w:t>，采用计量进行比对进行有效性确认，满足要求。祥见附件《测量过程有效性确认》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12JSD200T-1707030副箱驱动齿轮外径</w:t>
      </w:r>
      <w:r>
        <w:rPr>
          <w:rFonts w:hint="eastAsia" w:ascii="宋体" w:hAnsi="宋体"/>
          <w:color w:val="000000" w:themeColor="text1"/>
          <w:szCs w:val="21"/>
        </w:rPr>
        <w:t>测量过程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12JSD200T-1707030副箱驱动齿轮外径</w:t>
      </w:r>
      <w:r>
        <w:rPr>
          <w:rFonts w:hint="eastAsia" w:ascii="宋体" w:hAnsi="宋体"/>
          <w:color w:val="000000" w:themeColor="text1"/>
          <w:szCs w:val="21"/>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olor w:val="000000" w:themeColor="text1"/>
          <w:szCs w:val="21"/>
          <w:lang w:val="en-US" w:eastAsia="zh-CN"/>
        </w:rPr>
        <w:t>该</w:t>
      </w:r>
      <w:r>
        <w:rPr>
          <w:rFonts w:hint="eastAsia"/>
          <w:color w:val="000000" w:themeColor="text1"/>
          <w:szCs w:val="21"/>
        </w:rPr>
        <w:t>公司</w:t>
      </w:r>
      <w:r>
        <w:rPr>
          <w:rFonts w:hint="eastAsia"/>
          <w:color w:val="000000" w:themeColor="text1"/>
          <w:szCs w:val="21"/>
          <w:lang w:val="en-US" w:eastAsia="zh-CN"/>
        </w:rPr>
        <w:t>未</w:t>
      </w:r>
      <w:r>
        <w:rPr>
          <w:rFonts w:hint="eastAsia"/>
          <w:color w:val="000000" w:themeColor="text1"/>
          <w:szCs w:val="21"/>
        </w:rPr>
        <w:t>建立</w:t>
      </w:r>
      <w:r>
        <w:rPr>
          <w:rFonts w:hint="eastAsia"/>
          <w:color w:val="000000" w:themeColor="text1"/>
          <w:szCs w:val="21"/>
          <w:lang w:val="en-US" w:eastAsia="zh-CN"/>
        </w:rPr>
        <w:t>计量</w:t>
      </w:r>
      <w:r>
        <w:rPr>
          <w:rFonts w:hint="eastAsia"/>
          <w:color w:val="000000" w:themeColor="text1"/>
          <w:szCs w:val="21"/>
        </w:rPr>
        <w:t>标准，测量设备</w:t>
      </w:r>
      <w:r>
        <w:rPr>
          <w:rFonts w:hint="eastAsia"/>
          <w:color w:val="000000" w:themeColor="text1"/>
          <w:szCs w:val="21"/>
          <w:lang w:val="en-US" w:eastAsia="zh-CN"/>
        </w:rPr>
        <w:t>均</w:t>
      </w:r>
      <w:r>
        <w:rPr>
          <w:rFonts w:hint="eastAsia"/>
          <w:color w:val="000000" w:themeColor="text1"/>
          <w:szCs w:val="21"/>
        </w:rPr>
        <w:t>送至</w:t>
      </w:r>
      <w:r>
        <w:rPr>
          <w:rFonts w:hint="eastAsia" w:ascii="宋体" w:hAnsi="宋体"/>
          <w:color w:val="000000" w:themeColor="text1"/>
          <w:szCs w:val="21"/>
        </w:rPr>
        <w:t>中国航发南方工业有限公司计量实验室</w:t>
      </w:r>
      <w:r>
        <w:rPr>
          <w:rFonts w:hint="eastAsia"/>
          <w:color w:val="000000" w:themeColor="text1"/>
          <w:szCs w:val="21"/>
          <w:lang w:val="en-US" w:eastAsia="zh-CN"/>
        </w:rPr>
        <w:t>进行校准</w:t>
      </w:r>
      <w:r>
        <w:rPr>
          <w:rFonts w:hint="eastAsia"/>
          <w:color w:val="000000" w:themeColor="text1"/>
          <w:szCs w:val="21"/>
        </w:rPr>
        <w:t>，抽查</w:t>
      </w:r>
      <w:r>
        <w:rPr>
          <w:rFonts w:hint="eastAsia"/>
          <w:color w:val="000000" w:themeColor="text1"/>
          <w:szCs w:val="21"/>
          <w:lang w:val="en-US" w:eastAsia="zh-CN"/>
        </w:rPr>
        <w:t>8</w:t>
      </w:r>
      <w:r>
        <w:rPr>
          <w:rFonts w:hint="eastAsia"/>
          <w:color w:val="000000" w:themeColor="text1"/>
          <w:szCs w:val="21"/>
        </w:rPr>
        <w:t>台件测量设备，符合量值溯源性管理的要求。祥见《测量设备溯源检查表》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spacing w:line="360" w:lineRule="auto"/>
        <w:ind w:firstLine="420" w:firstLineChars="200"/>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企业2021年全年能耗78吨标煤，</w:t>
      </w:r>
      <w:r>
        <w:rPr>
          <w:rFonts w:hint="eastAsia" w:ascii="宋体" w:hAnsi="宋体"/>
          <w:color w:val="000000" w:themeColor="text1"/>
          <w:szCs w:val="21"/>
        </w:rPr>
        <w:t>配备了</w:t>
      </w:r>
      <w:r>
        <w:rPr>
          <w:rFonts w:hint="eastAsia" w:ascii="宋体" w:hAnsi="宋体"/>
          <w:color w:val="000000" w:themeColor="text1"/>
          <w:szCs w:val="21"/>
          <w:lang w:val="en-US" w:eastAsia="zh-CN"/>
        </w:rPr>
        <w:t>2</w:t>
      </w:r>
      <w:r>
        <w:rPr>
          <w:rFonts w:hint="eastAsia" w:ascii="宋体" w:hAnsi="宋体"/>
          <w:color w:val="000000" w:themeColor="text1"/>
          <w:szCs w:val="21"/>
        </w:rPr>
        <w:t>台电能表精度等级0.5</w:t>
      </w:r>
      <w:r>
        <w:rPr>
          <w:rFonts w:hint="eastAsia" w:ascii="宋体" w:hAnsi="宋体"/>
          <w:color w:val="000000" w:themeColor="text1"/>
          <w:szCs w:val="21"/>
          <w:lang w:eastAsia="zh-CN"/>
        </w:rPr>
        <w:t>、</w:t>
      </w:r>
      <w:r>
        <w:rPr>
          <w:rFonts w:hint="eastAsia" w:ascii="宋体" w:hAnsi="宋体"/>
          <w:color w:val="000000" w:themeColor="text1"/>
          <w:szCs w:val="21"/>
        </w:rPr>
        <w:t>1.0级</w:t>
      </w:r>
      <w:r>
        <w:rPr>
          <w:rFonts w:hint="eastAsia" w:ascii="宋体" w:hAnsi="宋体"/>
          <w:color w:val="000000" w:themeColor="text1"/>
          <w:szCs w:val="21"/>
          <w:lang w:eastAsia="zh-CN"/>
        </w:rPr>
        <w:t>，</w:t>
      </w:r>
      <w:r>
        <w:rPr>
          <w:rFonts w:hint="eastAsia" w:ascii="宋体" w:hAnsi="宋体"/>
          <w:color w:val="000000" w:themeColor="text1"/>
          <w:szCs w:val="21"/>
        </w:rPr>
        <w:t xml:space="preserve"> </w:t>
      </w:r>
      <w:r>
        <w:rPr>
          <w:rFonts w:hint="eastAsia" w:ascii="宋体" w:hAnsi="宋体" w:eastAsia="宋体"/>
          <w:bCs/>
          <w:color w:val="000000" w:themeColor="text1"/>
          <w:szCs w:val="21"/>
        </w:rPr>
        <w:t>能源计量</w:t>
      </w:r>
      <w:r>
        <w:rPr>
          <w:rFonts w:hint="eastAsia" w:ascii="宋体" w:hAnsi="宋体"/>
          <w:color w:val="000000" w:themeColor="text1"/>
          <w:szCs w:val="21"/>
          <w:lang w:val="en-US" w:eastAsia="zh-CN"/>
        </w:rPr>
        <w:t>管理满足GB17167要求。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ind w:firstLine="420" w:firstLineChars="200"/>
        <w:rPr>
          <w:rFonts w:cs="宋体" w:asciiTheme="minorEastAsia" w:hAnsiTheme="minorEastAsia"/>
          <w:color w:val="000000" w:themeColor="text1"/>
          <w:kern w:val="0"/>
          <w:szCs w:val="21"/>
        </w:rPr>
      </w:pPr>
      <w:r>
        <w:rPr>
          <w:rFonts w:hint="eastAsia" w:ascii="宋体" w:hAnsi="宋体" w:cs="宋体"/>
          <w:color w:val="000000" w:themeColor="text1"/>
          <w:kern w:val="0"/>
          <w:szCs w:val="21"/>
        </w:rPr>
        <w:t>20</w:t>
      </w:r>
      <w:r>
        <w:rPr>
          <w:rFonts w:hint="eastAsia" w:ascii="宋体" w:hAnsi="宋体" w:cs="宋体"/>
          <w:color w:val="000000" w:themeColor="text1"/>
          <w:kern w:val="0"/>
          <w:szCs w:val="21"/>
          <w:lang w:val="en-US" w:eastAsia="zh-CN"/>
        </w:rPr>
        <w:t>21</w:t>
      </w:r>
      <w:r>
        <w:rPr>
          <w:rFonts w:hint="eastAsia" w:ascii="宋体" w:hAnsi="宋体" w:cs="宋体"/>
          <w:color w:val="000000" w:themeColor="text1"/>
          <w:kern w:val="0"/>
          <w:szCs w:val="21"/>
        </w:rPr>
        <w:t>年审核</w:t>
      </w:r>
      <w:r>
        <w:rPr>
          <w:rFonts w:hint="eastAsia" w:ascii="宋体" w:hAnsi="宋体" w:cs="宋体"/>
          <w:color w:val="000000" w:themeColor="text1"/>
          <w:kern w:val="0"/>
          <w:szCs w:val="21"/>
          <w:lang w:val="en-US" w:eastAsia="zh-CN"/>
        </w:rPr>
        <w:t>时</w:t>
      </w:r>
      <w:r>
        <w:rPr>
          <w:rFonts w:hint="eastAsia" w:ascii="宋体" w:hAnsi="宋体" w:cs="宋体"/>
          <w:color w:val="000000" w:themeColor="text1"/>
          <w:kern w:val="0"/>
          <w:szCs w:val="21"/>
        </w:rPr>
        <w:t>开出</w:t>
      </w:r>
      <w:r>
        <w:rPr>
          <w:rFonts w:hint="eastAsia" w:ascii="宋体" w:hAnsi="宋体" w:cs="宋体"/>
          <w:color w:val="000000" w:themeColor="text1"/>
          <w:kern w:val="0"/>
          <w:szCs w:val="21"/>
          <w:lang w:val="en-US" w:eastAsia="zh-CN"/>
        </w:rPr>
        <w:t>一个次要</w:t>
      </w:r>
      <w:r>
        <w:rPr>
          <w:rFonts w:hint="eastAsia" w:ascii="宋体" w:hAnsi="宋体" w:cs="宋体"/>
          <w:color w:val="000000" w:themeColor="text1"/>
          <w:kern w:val="0"/>
          <w:szCs w:val="21"/>
        </w:rPr>
        <w:t>不符合项，</w:t>
      </w:r>
      <w:r>
        <w:rPr>
          <w:rFonts w:hint="eastAsia" w:ascii="宋体" w:hAnsi="宋体" w:cs="宋体"/>
          <w:color w:val="000000" w:themeColor="text1"/>
          <w:kern w:val="0"/>
          <w:szCs w:val="21"/>
          <w:lang w:eastAsia="zh-CN"/>
        </w:rPr>
        <w:t>“</w:t>
      </w:r>
      <w:r>
        <w:rPr>
          <w:rFonts w:hint="eastAsia" w:ascii="宋体" w:hAnsi="宋体"/>
          <w:color w:val="000000" w:themeColor="text1"/>
          <w:szCs w:val="21"/>
          <w:lang w:val="en-US" w:eastAsia="zh-CN"/>
        </w:rPr>
        <w:t>检查时发现技术质量部使用的编号为9062439型号为</w:t>
      </w:r>
      <w:r>
        <w:rPr>
          <w:rFonts w:hint="default" w:ascii="Calibri" w:hAnsi="Calibri" w:cs="Calibri"/>
          <w:color w:val="000000" w:themeColor="text1"/>
          <w:szCs w:val="21"/>
          <w:lang w:val="en-US" w:eastAsia="zh-CN"/>
        </w:rPr>
        <w:t>(</w:t>
      </w:r>
      <w:r>
        <w:rPr>
          <w:rFonts w:hint="eastAsia" w:ascii="Calibri" w:hAnsi="Calibri" w:cs="Calibri"/>
          <w:color w:val="000000" w:themeColor="text1"/>
          <w:szCs w:val="21"/>
          <w:lang w:val="en-US" w:eastAsia="zh-CN"/>
        </w:rPr>
        <w:t>35-50</w:t>
      </w:r>
      <w:r>
        <w:rPr>
          <w:rFonts w:hint="default" w:ascii="Calibri" w:hAnsi="Calibri" w:cs="Calibri"/>
          <w:color w:val="000000" w:themeColor="text1"/>
          <w:szCs w:val="21"/>
          <w:lang w:val="en-US" w:eastAsia="zh-CN"/>
        </w:rPr>
        <w:t>)</w:t>
      </w:r>
      <w:r>
        <w:rPr>
          <w:rFonts w:hint="eastAsia" w:ascii="宋体" w:hAnsi="宋体" w:eastAsia="宋体" w:cs="宋体"/>
          <w:color w:val="000000" w:themeColor="text1"/>
          <w:szCs w:val="21"/>
          <w:lang w:val="en-US" w:eastAsia="zh-CN"/>
        </w:rPr>
        <w:t>㎜</w:t>
      </w:r>
      <w:r>
        <w:rPr>
          <w:rFonts w:hint="eastAsia" w:ascii="Calibri" w:hAnsi="Calibri" w:cs="Calibri"/>
          <w:color w:val="000000" w:themeColor="text1"/>
          <w:szCs w:val="21"/>
          <w:lang w:val="en-US" w:eastAsia="zh-CN"/>
        </w:rPr>
        <w:t>的内径百分比使用的是校准证书，未做确认。</w:t>
      </w:r>
      <w:r>
        <w:rPr>
          <w:rFonts w:hint="eastAsia" w:ascii="宋体" w:hAnsi="宋体" w:cs="宋体"/>
          <w:color w:val="000000" w:themeColor="text1"/>
          <w:kern w:val="0"/>
          <w:szCs w:val="21"/>
          <w:lang w:eastAsia="zh-CN"/>
        </w:rPr>
        <w:t>”</w:t>
      </w:r>
      <w:r>
        <w:rPr>
          <w:rFonts w:hint="eastAsia" w:ascii="宋体" w:hAnsi="宋体" w:cs="宋体"/>
          <w:bCs/>
          <w:color w:val="000000" w:themeColor="text1"/>
          <w:kern w:val="0"/>
          <w:szCs w:val="21"/>
        </w:rPr>
        <w:t>企业对不符合组织了纠正，1.</w:t>
      </w:r>
      <w:r>
        <w:rPr>
          <w:rFonts w:hint="eastAsia" w:ascii="宋体" w:hAnsi="宋体" w:cs="宋体"/>
          <w:bCs/>
          <w:color w:val="000000" w:themeColor="text1"/>
          <w:kern w:val="0"/>
          <w:szCs w:val="21"/>
          <w:lang w:val="en-US" w:eastAsia="zh-CN"/>
        </w:rPr>
        <w:t>建立了监视制定完善了计量确认记录</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对相关人员进行培训</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宋体" w:hAnsi="宋体" w:cs="宋体"/>
          <w:color w:val="000000" w:themeColor="text1"/>
          <w:kern w:val="0"/>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 xml:space="preserve"> 本次监督审核</w:t>
      </w:r>
      <w:r>
        <w:rPr>
          <w:rFonts w:hint="eastAsia" w:ascii="宋体" w:hAnsi="宋体" w:eastAsia="宋体" w:cs="宋体"/>
          <w:color w:val="000000" w:themeColor="text1"/>
          <w:kern w:val="0"/>
          <w:szCs w:val="21"/>
          <w:lang w:val="en-US" w:eastAsia="zh-CN"/>
        </w:rPr>
        <w:t>未</w:t>
      </w:r>
      <w:r>
        <w:rPr>
          <w:rFonts w:hint="eastAsia" w:ascii="宋体" w:hAnsi="宋体" w:eastAsia="宋体" w:cs="宋体"/>
          <w:color w:val="000000" w:themeColor="text1"/>
          <w:kern w:val="0"/>
          <w:szCs w:val="21"/>
        </w:rPr>
        <w:t>出具一般不符合</w:t>
      </w:r>
      <w:r>
        <w:rPr>
          <w:rFonts w:hint="eastAsia" w:ascii="宋体" w:hAnsi="宋体" w:eastAsia="宋体" w:cs="宋体"/>
          <w:color w:val="000000" w:themeColor="text1"/>
          <w:kern w:val="0"/>
          <w:szCs w:val="21"/>
          <w:lang w:val="en-US" w:eastAsia="zh-CN"/>
        </w:rPr>
        <w:t xml:space="preserve">项 </w:t>
      </w:r>
      <w:r>
        <w:rPr>
          <w:rFonts w:hint="eastAsia" w:ascii="宋体" w:hAnsi="宋体" w:eastAsia="宋体" w:cs="宋体"/>
          <w:color w:val="000000" w:themeColor="text1"/>
          <w:kern w:val="0"/>
          <w:szCs w:val="21"/>
        </w:rPr>
        <w:t>，未发现严重的或系统性的不符合情况：</w:t>
      </w:r>
    </w:p>
    <w:p>
      <w:pPr>
        <w:widowControl/>
        <w:numPr>
          <w:ilvl w:val="0"/>
          <w:numId w:val="0"/>
        </w:numPr>
        <w:spacing w:line="360" w:lineRule="auto"/>
        <w:ind w:leftChars="0"/>
        <w:jc w:val="both"/>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11.</w:t>
      </w:r>
      <w:r>
        <w:rPr>
          <w:rFonts w:hint="eastAsia" w:ascii="宋体" w:hAnsi="宋体"/>
          <w:color w:val="000000" w:themeColor="text1"/>
          <w:szCs w:val="21"/>
        </w:rPr>
        <w:t>产品的销售</w:t>
      </w:r>
      <w:r>
        <w:rPr>
          <w:rFonts w:hint="eastAsia" w:ascii="宋体" w:hAnsi="宋体"/>
          <w:color w:val="000000" w:themeColor="text1"/>
          <w:szCs w:val="21"/>
          <w:lang w:val="en-US" w:eastAsia="zh-CN"/>
        </w:rPr>
        <w:t>的情况：</w:t>
      </w:r>
    </w:p>
    <w:p>
      <w:pPr>
        <w:widowControl/>
        <w:spacing w:line="360" w:lineRule="auto"/>
        <w:ind w:firstLine="420" w:firstLineChars="200"/>
        <w:rPr>
          <w:rFonts w:hint="eastAsia" w:cs="宋体" w:asciiTheme="minorEastAsia" w:hAnsiTheme="minorEastAsia"/>
          <w:bCs/>
          <w:color w:val="auto"/>
          <w:kern w:val="0"/>
          <w:szCs w:val="21"/>
        </w:rPr>
      </w:pPr>
      <w:r>
        <w:rPr>
          <w:rFonts w:hint="eastAsia" w:ascii="宋体" w:hAnsi="宋体" w:eastAsia="宋体" w:cs="Times New Roman"/>
          <w:color w:val="000000" w:themeColor="text1"/>
          <w:szCs w:val="21"/>
        </w:rPr>
        <w:t>抽查</w:t>
      </w:r>
      <w:r>
        <w:rPr>
          <w:rFonts w:hint="eastAsia" w:ascii="宋体" w:hAnsi="宋体" w:eastAsia="宋体" w:cs="Times New Roman"/>
          <w:color w:val="000000" w:themeColor="text1"/>
          <w:szCs w:val="21"/>
          <w:lang w:eastAsia="zh-CN"/>
        </w:rPr>
        <w:t>，</w:t>
      </w:r>
      <w:r>
        <w:rPr>
          <w:rFonts w:hint="eastAsia" w:ascii="宋体" w:hAnsi="宋体" w:eastAsia="宋体" w:cs="Times New Roman"/>
          <w:color w:val="000000" w:themeColor="text1"/>
          <w:szCs w:val="21"/>
          <w:lang w:val="en-US" w:eastAsia="zh-CN"/>
        </w:rPr>
        <w:t>2022</w:t>
      </w:r>
      <w:r>
        <w:rPr>
          <w:rFonts w:hint="eastAsia" w:ascii="宋体" w:hAnsi="宋体" w:eastAsia="宋体" w:cs="Times New Roman"/>
          <w:color w:val="000000" w:themeColor="text1"/>
          <w:szCs w:val="21"/>
        </w:rPr>
        <w:t>年</w:t>
      </w:r>
      <w:r>
        <w:rPr>
          <w:rFonts w:hint="eastAsia" w:ascii="宋体" w:hAnsi="宋体" w:eastAsia="宋体" w:cs="Times New Roman"/>
          <w:color w:val="000000" w:themeColor="text1"/>
          <w:szCs w:val="21"/>
          <w:lang w:val="en-US" w:eastAsia="zh-CN"/>
        </w:rPr>
        <w:t>3</w:t>
      </w:r>
      <w:r>
        <w:rPr>
          <w:rFonts w:hint="eastAsia" w:ascii="宋体" w:hAnsi="宋体" w:eastAsia="宋体" w:cs="Times New Roman"/>
          <w:color w:val="000000" w:themeColor="text1"/>
          <w:szCs w:val="21"/>
        </w:rPr>
        <w:t>月</w:t>
      </w:r>
      <w:r>
        <w:rPr>
          <w:rFonts w:hint="eastAsia" w:ascii="宋体" w:hAnsi="宋体" w:eastAsia="宋体" w:cs="Times New Roman"/>
          <w:color w:val="000000" w:themeColor="text1"/>
          <w:szCs w:val="21"/>
          <w:lang w:val="en-US" w:eastAsia="zh-CN"/>
        </w:rPr>
        <w:t>20</w:t>
      </w:r>
      <w:r>
        <w:rPr>
          <w:rFonts w:hint="eastAsia" w:ascii="宋体" w:hAnsi="宋体" w:eastAsia="宋体" w:cs="Times New Roman"/>
          <w:color w:val="000000" w:themeColor="text1"/>
          <w:szCs w:val="21"/>
        </w:rPr>
        <w:t>日</w:t>
      </w:r>
      <w:r>
        <w:rPr>
          <w:rFonts w:hint="eastAsia" w:ascii="宋体" w:hAnsi="宋体" w:eastAsia="宋体" w:cs="Times New Roman"/>
          <w:color w:val="000000" w:themeColor="text1"/>
          <w:szCs w:val="21"/>
          <w:lang w:val="en-US" w:eastAsia="zh-CN"/>
        </w:rPr>
        <w:t>与宝鸡法士特齿轮有限责任公司</w:t>
      </w:r>
      <w:r>
        <w:rPr>
          <w:rFonts w:hint="eastAsia" w:ascii="宋体" w:hAnsi="宋体" w:eastAsia="宋体" w:cs="Times New Roman"/>
          <w:color w:val="000000" w:themeColor="text1"/>
          <w:szCs w:val="21"/>
        </w:rPr>
        <w:t>签订合同编号</w:t>
      </w:r>
      <w:r>
        <w:rPr>
          <w:rFonts w:hint="eastAsia" w:ascii="宋体" w:hAnsi="宋体" w:eastAsia="宋体" w:cs="Times New Roman"/>
          <w:color w:val="000000" w:themeColor="text1"/>
          <w:szCs w:val="21"/>
          <w:lang w:val="en-US" w:eastAsia="zh-CN"/>
        </w:rPr>
        <w:t>BFCGXZ20220320</w:t>
      </w:r>
      <w:r>
        <w:rPr>
          <w:rFonts w:hint="eastAsia" w:ascii="宋体" w:hAnsi="宋体" w:eastAsia="宋体" w:cs="Times New Roman"/>
          <w:color w:val="000000" w:themeColor="text1"/>
          <w:szCs w:val="21"/>
        </w:rPr>
        <w:t>，</w:t>
      </w:r>
      <w:r>
        <w:rPr>
          <w:rFonts w:hint="eastAsia" w:ascii="宋体" w:hAnsi="宋体"/>
          <w:color w:val="000000" w:themeColor="text1"/>
          <w:szCs w:val="21"/>
        </w:rPr>
        <w:t>锻造</w:t>
      </w:r>
      <w:r>
        <w:rPr>
          <w:rFonts w:hint="eastAsia" w:ascii="宋体" w:hAnsi="宋体"/>
          <w:color w:val="000000" w:themeColor="text1"/>
          <w:szCs w:val="21"/>
          <w:lang w:val="en-US" w:eastAsia="zh-CN"/>
        </w:rPr>
        <w:t>件</w:t>
      </w:r>
      <w:r>
        <w:rPr>
          <w:rFonts w:hint="eastAsia" w:ascii="宋体" w:hAnsi="宋体"/>
          <w:color w:val="000000" w:themeColor="text1"/>
          <w:szCs w:val="21"/>
        </w:rPr>
        <w:t>、铸造</w:t>
      </w:r>
      <w:r>
        <w:rPr>
          <w:rFonts w:hint="eastAsia" w:ascii="宋体" w:hAnsi="宋体"/>
          <w:color w:val="000000" w:themeColor="text1"/>
          <w:szCs w:val="21"/>
          <w:lang w:val="en-US" w:eastAsia="zh-CN"/>
        </w:rPr>
        <w:t>件</w:t>
      </w:r>
      <w:r>
        <w:rPr>
          <w:rFonts w:hint="eastAsia" w:ascii="宋体" w:hAnsi="宋体"/>
          <w:color w:val="000000" w:themeColor="text1"/>
          <w:szCs w:val="21"/>
        </w:rPr>
        <w:t>、机械零配件</w:t>
      </w:r>
      <w:r>
        <w:rPr>
          <w:rFonts w:hint="eastAsia" w:ascii="宋体" w:hAnsi="宋体" w:eastAsia="宋体" w:cs="Times New Roman"/>
          <w:color w:val="000000" w:themeColor="text1"/>
          <w:szCs w:val="21"/>
          <w:lang w:val="en-US" w:eastAsia="zh-CN"/>
        </w:rPr>
        <w:t>等</w:t>
      </w:r>
      <w:r>
        <w:rPr>
          <w:rFonts w:hint="eastAsia" w:ascii="宋体" w:hAnsi="宋体" w:eastAsia="宋体" w:cs="Times New Roman"/>
          <w:color w:val="000000" w:themeColor="text1"/>
          <w:szCs w:val="21"/>
        </w:rPr>
        <w:t>产品的销售合同。确认企业对应的产品生产过程涉及有对应的测量过程和测量设备，测量设备的配备可满足该合同产品的生产和检验要求</w:t>
      </w:r>
      <w:r>
        <w:rPr>
          <w:rFonts w:hint="eastAsia" w:ascii="宋体" w:hAnsi="宋体" w:eastAsia="宋体" w:cs="Times New Roman"/>
          <w:color w:val="000000"/>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widowControl/>
        <w:spacing w:line="360" w:lineRule="auto"/>
        <w:ind w:firstLine="420" w:firstLineChars="200"/>
        <w:rPr>
          <w:rFonts w:ascii="宋体" w:hAnsi="宋体" w:eastAsia="宋体" w:cs="宋体"/>
          <w:b/>
          <w:bCs/>
          <w:kern w:val="0"/>
          <w:szCs w:val="28"/>
        </w:rPr>
      </w:pPr>
      <w:r>
        <w:rPr>
          <w:rFonts w:hint="eastAsia" w:ascii="宋体" w:hAnsi="宋体" w:eastAsia="宋体" w:cs="Times New Roman"/>
          <w:color w:val="000000" w:themeColor="text1"/>
          <w:szCs w:val="21"/>
        </w:rPr>
        <w:t>通过20</w:t>
      </w:r>
      <w:r>
        <w:rPr>
          <w:rFonts w:hint="eastAsia" w:ascii="宋体" w:hAnsi="宋体" w:eastAsia="宋体" w:cs="Times New Roman"/>
          <w:color w:val="000000" w:themeColor="text1"/>
          <w:szCs w:val="21"/>
          <w:lang w:val="en-US" w:eastAsia="zh-CN"/>
        </w:rPr>
        <w:t>22</w:t>
      </w:r>
      <w:r>
        <w:rPr>
          <w:rFonts w:hint="eastAsia" w:ascii="宋体" w:hAnsi="宋体" w:eastAsia="宋体" w:cs="Times New Roman"/>
          <w:color w:val="000000" w:themeColor="text1"/>
          <w:szCs w:val="21"/>
        </w:rPr>
        <w:t>年</w:t>
      </w:r>
      <w:r>
        <w:rPr>
          <w:rFonts w:hint="eastAsia" w:ascii="宋体" w:hAnsi="宋体" w:eastAsia="宋体" w:cs="Times New Roman"/>
          <w:color w:val="000000" w:themeColor="text1"/>
          <w:szCs w:val="21"/>
          <w:lang w:val="en-US" w:eastAsia="zh-CN"/>
        </w:rPr>
        <w:t>9</w:t>
      </w:r>
      <w:r>
        <w:rPr>
          <w:rFonts w:hint="eastAsia" w:ascii="宋体" w:hAnsi="宋体" w:eastAsia="宋体" w:cs="Times New Roman"/>
          <w:color w:val="000000" w:themeColor="text1"/>
          <w:szCs w:val="21"/>
        </w:rPr>
        <w:t>月</w:t>
      </w:r>
      <w:r>
        <w:rPr>
          <w:rFonts w:hint="eastAsia" w:ascii="宋体" w:hAnsi="宋体" w:eastAsia="宋体" w:cs="Times New Roman"/>
          <w:color w:val="000000" w:themeColor="text1"/>
          <w:szCs w:val="21"/>
          <w:lang w:val="en-US" w:eastAsia="zh-CN"/>
        </w:rPr>
        <w:t>7</w:t>
      </w:r>
      <w:r>
        <w:rPr>
          <w:rFonts w:hint="eastAsia" w:ascii="宋体" w:hAnsi="宋体" w:eastAsia="宋体" w:cs="Times New Roman"/>
          <w:color w:val="000000" w:themeColor="text1"/>
          <w:szCs w:val="21"/>
        </w:rPr>
        <w:t>日，对岐山振兴现代锻造有限公司</w:t>
      </w:r>
      <w:r>
        <w:rPr>
          <w:rFonts w:hint="eastAsia" w:cs="宋体" w:asciiTheme="minorEastAsia" w:hAnsiTheme="minorEastAsia"/>
          <w:bCs/>
          <w:kern w:val="0"/>
          <w:szCs w:val="21"/>
          <w:lang w:val="en-US" w:eastAsia="zh-CN"/>
        </w:rPr>
        <w:t>远程</w:t>
      </w:r>
      <w:r>
        <w:rPr>
          <w:rFonts w:hint="eastAsia" w:cs="宋体" w:asciiTheme="minorEastAsia" w:hAnsiTheme="minorEastAsia"/>
          <w:bCs/>
          <w:kern w:val="0"/>
          <w:szCs w:val="21"/>
        </w:rPr>
        <w:t>监督</w:t>
      </w:r>
      <w:r>
        <w:rPr>
          <w:rFonts w:cs="宋体" w:asciiTheme="minorEastAsia" w:hAnsiTheme="minorEastAsia"/>
          <w:bCs/>
          <w:kern w:val="0"/>
          <w:szCs w:val="21"/>
        </w:rPr>
        <w:t>审核</w:t>
      </w:r>
      <w:r>
        <w:rPr>
          <w:rFonts w:hint="eastAsia" w:cs="宋体" w:asciiTheme="minorEastAsia" w:hAnsiTheme="minorEastAsia"/>
          <w:bCs/>
          <w:kern w:val="0"/>
          <w:szCs w:val="21"/>
        </w:rPr>
        <w:t>.</w:t>
      </w:r>
      <w:r>
        <w:rPr>
          <w:rFonts w:hint="eastAsia" w:ascii="宋体" w:hAnsi="宋体"/>
          <w:color w:val="auto"/>
          <w:szCs w:val="21"/>
          <w:lang w:val="en-US" w:eastAsia="zh-CN"/>
        </w:rPr>
        <w:t>通过</w:t>
      </w:r>
      <w:bookmarkStart w:id="11" w:name="_GoBack"/>
      <w:bookmarkEnd w:id="11"/>
      <w:r>
        <w:rPr>
          <w:rFonts w:hint="eastAsia" w:ascii="宋体" w:hAnsi="宋体"/>
          <w:color w:val="auto"/>
          <w:szCs w:val="21"/>
          <w:lang w:val="en-US" w:eastAsia="zh-CN"/>
        </w:rPr>
        <w:t>腾讯会议及微信、手机视频， 通过审核电子文档、照片或截屏、视频等形式获取信息，</w:t>
      </w:r>
      <w:r>
        <w:rPr>
          <w:rFonts w:hint="eastAsia" w:ascii="宋体" w:hAnsi="宋体" w:eastAsia="宋体" w:cs="Times New Roman"/>
          <w:color w:val="000000" w:themeColor="text1"/>
          <w:szCs w:val="21"/>
        </w:rPr>
        <w:t>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岐山振兴现代锻造有限公司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1473200</wp:posOffset>
            </wp:positionH>
            <wp:positionV relativeFrom="paragraph">
              <wp:posOffset>54610</wp:posOffset>
            </wp:positionV>
            <wp:extent cx="294640" cy="226060"/>
            <wp:effectExtent l="0" t="0" r="10160" b="254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294640" cy="226060"/>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2022.9.7</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AF929"/>
    <w:multiLevelType w:val="singleLevel"/>
    <w:tmpl w:val="CF1AF929"/>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4911ED5"/>
    <w:rsid w:val="22E758D7"/>
    <w:rsid w:val="606A17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2022-09-26T03:11:54Z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81EE4FCA02444C65A6133FB8ED61FAE9</vt:lpwstr>
  </property>
</Properties>
</file>