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0588-2022-EnMS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鑫福传动部件（无锡）有限公司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2022年09月0</w:t>
            </w:r>
            <w:r>
              <w:rPr>
                <w:rFonts w:hint="eastAsia" w:ascii="宋体"/>
                <w:b/>
                <w:color w:val="000000"/>
                <w:szCs w:val="21"/>
                <w:lang w:val="en-US" w:eastAsia="zh-CN"/>
              </w:rPr>
              <w:t>7</w:t>
            </w:r>
            <w:r>
              <w:rPr>
                <w:rFonts w:hint="eastAsia" w:ascii="宋体"/>
                <w:b/>
                <w:color w:val="000000"/>
                <w:szCs w:val="21"/>
              </w:rPr>
              <w:t>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hint="default" w:ascii="宋体" w:eastAsia="宋体"/>
                <w:b/>
                <w:color w:val="0000FF"/>
                <w:szCs w:val="21"/>
                <w:lang w:val="en-US" w:eastAsia="zh-CN"/>
              </w:rPr>
            </w:pPr>
            <w:r>
              <w:rPr>
                <w:rFonts w:hint="eastAsia" w:ascii="宋体"/>
                <w:b/>
                <w:color w:val="0000FF"/>
                <w:szCs w:val="21"/>
                <w:lang w:val="en-US" w:eastAsia="zh-CN"/>
              </w:rPr>
              <w:t>河北省石家庄市/北京市/江苏省无锡市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b/>
                <w:color w:val="000000"/>
                <w:szCs w:val="21"/>
              </w:rPr>
              <w:t>王宁敏</w:t>
            </w:r>
          </w:p>
        </w:tc>
        <w:tc>
          <w:tcPr>
            <w:tcW w:w="1089"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711" w:type="dxa"/>
            <w:vAlign w:val="center"/>
          </w:tcPr>
          <w:p>
            <w:pPr>
              <w:jc w:val="center"/>
              <w:rPr>
                <w:rFonts w:ascii="Times New Roman" w:hAnsi="Times New Roman" w:eastAsia="宋体" w:cs="Times New Roman"/>
                <w:kern w:val="2"/>
                <w:sz w:val="21"/>
                <w:szCs w:val="21"/>
                <w:lang w:val="en-US" w:eastAsia="zh-CN" w:bidi="ar-SA"/>
              </w:rPr>
            </w:pPr>
            <w:r>
              <w:rPr>
                <w:b/>
                <w:bCs/>
                <w:sz w:val="21"/>
                <w:szCs w:val="21"/>
              </w:rPr>
              <w:t>男</w:t>
            </w:r>
          </w:p>
        </w:tc>
        <w:tc>
          <w:tcPr>
            <w:tcW w:w="3870" w:type="dxa"/>
            <w:vAlign w:val="center"/>
          </w:tcPr>
          <w:p>
            <w:pPr>
              <w:spacing w:line="240" w:lineRule="exact"/>
              <w:jc w:val="center"/>
              <w:rPr>
                <w:b/>
                <w:color w:val="000000"/>
                <w:szCs w:val="21"/>
              </w:rPr>
            </w:pPr>
            <w:r>
              <w:rPr>
                <w:b/>
                <w:bCs/>
                <w:sz w:val="21"/>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徐申</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ISC-JSZJ-526</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无锡先锋电机有限公司</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2.7</w:t>
            </w: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鑫福传动部件（无锡）有限公司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无锡市惠山区前洲街道北幢村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214181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无锡市惠山区前洲街道北幢村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214181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吴浩星</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13706192591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hint="default" w:ascii="宋体" w:eastAsia="宋体"/>
                <w:b/>
                <w:color w:val="000000"/>
                <w:szCs w:val="21"/>
                <w:lang w:val="en-US" w:eastAsia="zh-CN"/>
              </w:rPr>
            </w:pPr>
            <w:r>
              <w:rPr>
                <w:rFonts w:hint="eastAsia" w:ascii="宋体" w:hAnsi="宋体"/>
                <w:b/>
                <w:color w:val="000000"/>
                <w:szCs w:val="21"/>
                <w:lang w:val="en-US" w:eastAsia="zh-CN"/>
              </w:rPr>
              <w:t>总经理</w:t>
            </w:r>
          </w:p>
        </w:tc>
        <w:tc>
          <w:tcPr>
            <w:tcW w:w="1552" w:type="dxa"/>
          </w:tcPr>
          <w:p>
            <w:pPr>
              <w:rPr>
                <w:rFonts w:hint="eastAsia" w:ascii="宋体" w:eastAsia="宋体"/>
                <w:b/>
                <w:color w:val="000000"/>
                <w:szCs w:val="21"/>
                <w:lang w:eastAsia="zh-CN"/>
              </w:rPr>
            </w:pPr>
            <w:r>
              <w:rPr>
                <w:rFonts w:hint="eastAsia" w:ascii="宋体"/>
                <w:b/>
                <w:color w:val="000000"/>
                <w:szCs w:val="21"/>
                <w:lang w:val="en-US" w:eastAsia="zh-CN"/>
              </w:rPr>
              <w:t>过伟</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ind w:firstLine="422" w:firstLineChars="200"/>
              <w:rPr>
                <w:rFonts w:ascii="宋体"/>
                <w:b/>
                <w:color w:val="000000"/>
                <w:szCs w:val="21"/>
              </w:rPr>
            </w:pPr>
            <w:bookmarkStart w:id="30" w:name="管理者代表"/>
            <w:r>
              <w:rPr>
                <w:rFonts w:ascii="宋体"/>
                <w:b/>
                <w:color w:val="000000"/>
                <w:szCs w:val="21"/>
              </w:rPr>
              <w:t>吴浩星</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各种锻件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ascii="宋体"/>
                <w:color w:val="000000"/>
                <w:szCs w:val="21"/>
              </w:rPr>
            </w:pPr>
            <w:r>
              <w:rPr>
                <w:rFonts w:hint="eastAsia" w:ascii="宋体" w:hAnsi="宋体" w:eastAsia="宋体" w:cs="Times New Roman"/>
                <w:b/>
                <w:bCs/>
                <w:color w:val="000000"/>
                <w:szCs w:val="21"/>
                <w:highlight w:val="none"/>
                <w:lang w:val="en-US" w:eastAsia="zh-CN"/>
              </w:rPr>
              <w:t>原材料检验（废钢、合金）</w:t>
            </w:r>
            <w:r>
              <w:rPr>
                <w:rFonts w:hint="eastAsia" w:ascii="宋体" w:hAnsi="宋体" w:eastAsia="宋体" w:cs="Times New Roman"/>
                <w:b/>
                <w:bCs/>
                <w:color w:val="000000"/>
                <w:szCs w:val="21"/>
                <w:lang w:val="en-US" w:eastAsia="zh-CN"/>
              </w:rPr>
              <w:t>→熔化→铸造→冷却成型→脱模清理→退火（适用时）→去毛刺→铸件→加热→锻压→缓冷→检验→成品；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1" w:name="审核范围"/>
            <w:r>
              <w:rPr>
                <w:rFonts w:hint="eastAsia" w:ascii="宋体" w:hAnsi="宋体" w:cs="宋体"/>
                <w:color w:val="000000"/>
                <w:kern w:val="0"/>
                <w:szCs w:val="21"/>
              </w:rPr>
              <w:t>机械锻件的制造所涉及的能源管理活动</w:t>
            </w:r>
            <w:bookmarkEnd w:id="31"/>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highlight w:val="none"/>
              </w:rPr>
              <w:sym w:font="Wingdings 2" w:char="00A3"/>
            </w:r>
            <w:r>
              <w:rPr>
                <w:rFonts w:hint="eastAsia" w:ascii="宋体" w:hAnsi="宋体"/>
                <w:color w:val="000000"/>
                <w:szCs w:val="21"/>
                <w:highlight w:val="none"/>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16"/>
        <w:gridCol w:w="1670"/>
        <w:gridCol w:w="1380"/>
        <w:gridCol w:w="1800"/>
        <w:gridCol w:w="17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1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38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80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16" w:type="dxa"/>
          </w:tcPr>
          <w:p>
            <w:pPr>
              <w:spacing w:before="40" w:after="40"/>
              <w:rPr>
                <w:rFonts w:hint="eastAsia" w:eastAsia="宋体"/>
                <w:szCs w:val="21"/>
                <w:lang w:val="en-US" w:eastAsia="zh-CN"/>
              </w:rPr>
            </w:pPr>
            <w:r>
              <w:rPr>
                <w:sz w:val="21"/>
                <w:szCs w:val="21"/>
              </w:rPr>
              <w:t>鑫福传动部件（无锡）有限公司</w:t>
            </w:r>
            <w:r>
              <w:rPr>
                <w:rFonts w:hint="eastAsia"/>
                <w:sz w:val="21"/>
                <w:szCs w:val="21"/>
                <w:lang w:val="en-US" w:eastAsia="zh-CN"/>
              </w:rPr>
              <w:t>/</w:t>
            </w:r>
            <w:r>
              <w:rPr>
                <w:sz w:val="21"/>
                <w:szCs w:val="21"/>
              </w:rPr>
              <w:t>无锡市惠山区前洲街道北幢村</w:t>
            </w:r>
          </w:p>
        </w:tc>
        <w:tc>
          <w:tcPr>
            <w:tcW w:w="1670" w:type="dxa"/>
          </w:tcPr>
          <w:p>
            <w:pPr>
              <w:spacing w:before="40" w:after="40"/>
              <w:rPr>
                <w:rFonts w:eastAsia="黑体"/>
                <w:szCs w:val="21"/>
                <w:lang w:val="de-DE" w:eastAsia="ja-JP"/>
              </w:rPr>
            </w:pPr>
            <w:r>
              <w:rPr>
                <w:sz w:val="21"/>
                <w:szCs w:val="21"/>
              </w:rPr>
              <w:t>无锡市惠山区前洲街道北幢村</w:t>
            </w:r>
          </w:p>
        </w:tc>
        <w:tc>
          <w:tcPr>
            <w:tcW w:w="1380"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总人数69人（能源体系30人）</w:t>
            </w:r>
          </w:p>
        </w:tc>
        <w:tc>
          <w:tcPr>
            <w:tcW w:w="1800" w:type="dxa"/>
            <w:vAlign w:val="center"/>
          </w:tcPr>
          <w:p>
            <w:pPr>
              <w:pStyle w:val="21"/>
              <w:rPr>
                <w:rFonts w:eastAsia="黑体" w:cs="Arial"/>
                <w:sz w:val="21"/>
                <w:szCs w:val="21"/>
                <w:lang w:val="en-US" w:eastAsia="ja-JP"/>
              </w:rPr>
            </w:pPr>
            <w:r>
              <w:rPr>
                <w:rFonts w:hint="eastAsia" w:ascii="宋体" w:hAnsi="宋体" w:cs="宋体"/>
                <w:color w:val="000000"/>
                <w:kern w:val="0"/>
                <w:szCs w:val="21"/>
              </w:rPr>
              <w:t>机械锻件的制造所涉及的能源管理活动</w:t>
            </w:r>
          </w:p>
        </w:tc>
        <w:tc>
          <w:tcPr>
            <w:tcW w:w="1711" w:type="dxa"/>
            <w:vAlign w:val="center"/>
          </w:tcPr>
          <w:p>
            <w:pPr>
              <w:spacing w:before="40" w:after="40"/>
              <w:rPr>
                <w:rFonts w:hint="eastAsia"/>
                <w:lang w:val="en-US" w:eastAsia="zh-CN"/>
              </w:rPr>
            </w:pPr>
            <w:r>
              <w:rPr>
                <w:rFonts w:hint="eastAsia"/>
                <w:lang w:val="en-US" w:eastAsia="zh-CN"/>
              </w:rPr>
              <w:t>GB/T23331-2020</w:t>
            </w:r>
          </w:p>
          <w:p>
            <w:pPr>
              <w:pStyle w:val="2"/>
              <w:rPr>
                <w:rFonts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016" w:type="dxa"/>
            <w:vAlign w:val="center"/>
          </w:tcPr>
          <w:p>
            <w:pPr>
              <w:spacing w:before="40" w:after="40"/>
              <w:rPr>
                <w:rFonts w:eastAsia="黑体"/>
                <w:szCs w:val="21"/>
                <w:lang w:eastAsia="ja-JP"/>
              </w:rPr>
            </w:pPr>
          </w:p>
        </w:tc>
        <w:tc>
          <w:tcPr>
            <w:tcW w:w="167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tc>
          <w:tcPr>
            <w:tcW w:w="1800" w:type="dxa"/>
            <w:vAlign w:val="center"/>
          </w:tcPr>
          <w:p>
            <w:pPr>
              <w:spacing w:before="40" w:after="40"/>
              <w:rPr>
                <w:rFonts w:eastAsia="黑体"/>
                <w:szCs w:val="21"/>
                <w:lang w:eastAsia="ja-JP"/>
              </w:rPr>
            </w:pPr>
          </w:p>
        </w:tc>
        <w:tc>
          <w:tcPr>
            <w:tcW w:w="171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016" w:type="dxa"/>
            <w:vAlign w:val="center"/>
          </w:tcPr>
          <w:p>
            <w:pPr>
              <w:spacing w:before="40" w:after="40"/>
              <w:rPr>
                <w:rFonts w:eastAsia="黑体"/>
                <w:szCs w:val="21"/>
                <w:lang w:eastAsia="ja-JP"/>
              </w:rPr>
            </w:pPr>
          </w:p>
        </w:tc>
        <w:tc>
          <w:tcPr>
            <w:tcW w:w="167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tc>
          <w:tcPr>
            <w:tcW w:w="1800" w:type="dxa"/>
            <w:vAlign w:val="center"/>
          </w:tcPr>
          <w:p>
            <w:pPr>
              <w:spacing w:before="40" w:after="40"/>
              <w:rPr>
                <w:rFonts w:eastAsia="黑体"/>
                <w:szCs w:val="21"/>
                <w:lang w:eastAsia="ja-JP"/>
              </w:rPr>
            </w:pPr>
          </w:p>
        </w:tc>
        <w:tc>
          <w:tcPr>
            <w:tcW w:w="171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016" w:type="dxa"/>
            <w:vAlign w:val="center"/>
          </w:tcPr>
          <w:p>
            <w:pPr>
              <w:spacing w:before="40" w:after="40"/>
              <w:rPr>
                <w:rFonts w:eastAsia="黑体"/>
                <w:szCs w:val="21"/>
                <w:lang w:eastAsia="ja-JP"/>
              </w:rPr>
            </w:pPr>
          </w:p>
        </w:tc>
        <w:tc>
          <w:tcPr>
            <w:tcW w:w="167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tc>
          <w:tcPr>
            <w:tcW w:w="1800" w:type="dxa"/>
            <w:vAlign w:val="center"/>
          </w:tcPr>
          <w:p>
            <w:pPr>
              <w:spacing w:before="40" w:after="40"/>
              <w:rPr>
                <w:rFonts w:eastAsia="黑体"/>
                <w:szCs w:val="21"/>
                <w:lang w:eastAsia="ja-JP"/>
              </w:rPr>
            </w:pPr>
          </w:p>
        </w:tc>
        <w:tc>
          <w:tcPr>
            <w:tcW w:w="171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016" w:type="dxa"/>
            <w:vAlign w:val="center"/>
          </w:tcPr>
          <w:p>
            <w:pPr>
              <w:spacing w:before="40" w:after="40"/>
              <w:rPr>
                <w:rFonts w:eastAsia="黑体"/>
                <w:szCs w:val="21"/>
                <w:lang w:eastAsia="ja-JP"/>
              </w:rPr>
            </w:pPr>
          </w:p>
        </w:tc>
        <w:tc>
          <w:tcPr>
            <w:tcW w:w="1670" w:type="dxa"/>
            <w:vAlign w:val="center"/>
          </w:tcPr>
          <w:p>
            <w:pPr>
              <w:spacing w:before="40" w:after="40"/>
              <w:rPr>
                <w:rFonts w:eastAsia="黑体"/>
                <w:szCs w:val="21"/>
                <w:lang w:eastAsia="ja-JP"/>
              </w:rPr>
            </w:pPr>
          </w:p>
        </w:tc>
        <w:tc>
          <w:tcPr>
            <w:tcW w:w="1380" w:type="dxa"/>
            <w:vAlign w:val="center"/>
          </w:tcPr>
          <w:p>
            <w:pPr>
              <w:spacing w:before="40" w:after="40"/>
              <w:rPr>
                <w:rFonts w:eastAsia="黑体"/>
                <w:szCs w:val="21"/>
                <w:lang w:eastAsia="ja-JP"/>
              </w:rPr>
            </w:pPr>
          </w:p>
        </w:tc>
        <w:tc>
          <w:tcPr>
            <w:tcW w:w="1800" w:type="dxa"/>
            <w:vAlign w:val="center"/>
          </w:tcPr>
          <w:p>
            <w:pPr>
              <w:spacing w:before="40" w:after="40"/>
              <w:rPr>
                <w:rFonts w:eastAsia="黑体"/>
                <w:szCs w:val="21"/>
                <w:lang w:eastAsia="ja-JP"/>
              </w:rPr>
            </w:pPr>
          </w:p>
        </w:tc>
        <w:tc>
          <w:tcPr>
            <w:tcW w:w="171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无限额要哦求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bookmarkStart w:id="32" w:name="_GoBack"/>
            <w:bookmarkEnd w:id="32"/>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初步定于2022-0</w:t>
            </w:r>
            <w:r>
              <w:rPr>
                <w:rFonts w:hint="eastAsia" w:ascii="宋体"/>
                <w:b/>
                <w:color w:val="000000"/>
                <w:szCs w:val="21"/>
                <w:lang w:val="en-US" w:eastAsia="zh-CN"/>
              </w:rPr>
              <w:t>9</w:t>
            </w:r>
            <w:r>
              <w:rPr>
                <w:rFonts w:hint="eastAsia" w:ascii="宋体"/>
                <w:b/>
                <w:color w:val="000000"/>
                <w:szCs w:val="21"/>
              </w:rPr>
              <w:t>-</w:t>
            </w:r>
            <w:r>
              <w:rPr>
                <w:rFonts w:hint="eastAsia" w:ascii="宋体"/>
                <w:b/>
                <w:color w:val="000000"/>
                <w:szCs w:val="21"/>
                <w:lang w:val="en-US" w:eastAsia="zh-CN"/>
              </w:rPr>
              <w:t>08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sz w:val="22"/>
          <w:szCs w:val="22"/>
          <w:lang w:val="en-US"/>
        </w:rPr>
        <w:drawing>
          <wp:anchor distT="0" distB="0" distL="114300" distR="114300" simplePos="0" relativeHeight="251698176" behindDoc="0" locked="0" layoutInCell="1" allowOverlap="1">
            <wp:simplePos x="0" y="0"/>
            <wp:positionH relativeFrom="column">
              <wp:posOffset>4186555</wp:posOffset>
            </wp:positionH>
            <wp:positionV relativeFrom="paragraph">
              <wp:posOffset>152400</wp:posOffset>
            </wp:positionV>
            <wp:extent cx="702945" cy="633730"/>
            <wp:effectExtent l="0" t="0" r="8255" b="1270"/>
            <wp:wrapSquare wrapText="bothSides"/>
            <wp:docPr id="2"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56763f4e5bd04306ddf3b9b95cbe3"/>
                    <pic:cNvPicPr>
                      <a:picLocks noChangeAspect="1"/>
                    </pic:cNvPicPr>
                  </pic:nvPicPr>
                  <pic:blipFill>
                    <a:blip r:embed="rId6"/>
                    <a:stretch>
                      <a:fillRect/>
                    </a:stretch>
                  </pic:blipFill>
                  <pic:spPr>
                    <a:xfrm>
                      <a:off x="0" y="0"/>
                      <a:ext cx="702945" cy="6337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700224"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hint="default" w:ascii="宋体" w:eastAsia="宋体"/>
          <w:b/>
          <w:color w:val="000000"/>
          <w:szCs w:val="21"/>
          <w:lang w:val="en-US" w:eastAsia="zh-CN"/>
        </w:rPr>
      </w:pPr>
      <w:r>
        <w:rPr>
          <w:rFonts w:hint="default" w:eastAsiaTheme="minorEastAsia"/>
          <w:lang w:val="en-US" w:eastAsia="zh-CN"/>
        </w:rPr>
        <w:drawing>
          <wp:anchor distT="0" distB="0" distL="114300" distR="114300" simplePos="0" relativeHeight="251742208" behindDoc="0" locked="0" layoutInCell="1" allowOverlap="1">
            <wp:simplePos x="0" y="0"/>
            <wp:positionH relativeFrom="column">
              <wp:posOffset>4968875</wp:posOffset>
            </wp:positionH>
            <wp:positionV relativeFrom="paragraph">
              <wp:posOffset>37465</wp:posOffset>
            </wp:positionV>
            <wp:extent cx="539115" cy="353695"/>
            <wp:effectExtent l="0" t="0" r="6985" b="1905"/>
            <wp:wrapSquare wrapText="bothSides"/>
            <wp:docPr id="8" name="图片 8"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611b729e1be843596d3adf8c2569b2"/>
                    <pic:cNvPicPr>
                      <a:picLocks noChangeAspect="1"/>
                    </pic:cNvPicPr>
                  </pic:nvPicPr>
                  <pic:blipFill>
                    <a:blip r:embed="rId8"/>
                    <a:stretch>
                      <a:fillRect/>
                    </a:stretch>
                  </pic:blipFill>
                  <pic:spPr>
                    <a:xfrm>
                      <a:off x="0" y="0"/>
                      <a:ext cx="539115" cy="35369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2022.9.7                  </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4516755" cy="6029960"/>
            <wp:effectExtent l="0" t="0" r="4445" b="25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516755" cy="602996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鑫福传动部件（无锡）有限公司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提供的法律法规清单中设备热效率计算通则已作废，企业节能量计算方法未更新。合规性评价报告需补充完善。</w:t>
            </w: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741184" behindDoc="0" locked="0" layoutInCell="1" allowOverlap="1">
                  <wp:simplePos x="0" y="0"/>
                  <wp:positionH relativeFrom="column">
                    <wp:posOffset>751205</wp:posOffset>
                  </wp:positionH>
                  <wp:positionV relativeFrom="paragraph">
                    <wp:posOffset>128270</wp:posOffset>
                  </wp:positionV>
                  <wp:extent cx="777240" cy="234950"/>
                  <wp:effectExtent l="0" t="0" r="0" b="571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10"/>
                          <a:stretch>
                            <a:fillRect/>
                          </a:stretch>
                        </pic:blipFill>
                        <pic:spPr>
                          <a:xfrm>
                            <a:off x="0" y="0"/>
                            <a:ext cx="777240" cy="2349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701248" behindDoc="0" locked="0" layoutInCell="1" allowOverlap="1">
                  <wp:simplePos x="0" y="0"/>
                  <wp:positionH relativeFrom="column">
                    <wp:posOffset>708660</wp:posOffset>
                  </wp:positionH>
                  <wp:positionV relativeFrom="paragraph">
                    <wp:posOffset>56515</wp:posOffset>
                  </wp:positionV>
                  <wp:extent cx="777240" cy="234950"/>
                  <wp:effectExtent l="0" t="0" r="0" b="5715"/>
                  <wp:wrapSquare wrapText="bothSides"/>
                  <wp:docPr id="9" name="图片 9"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李丽英电子签"/>
                          <pic:cNvPicPr>
                            <a:picLocks noChangeAspect="1"/>
                          </pic:cNvPicPr>
                        </pic:nvPicPr>
                        <pic:blipFill>
                          <a:blip r:embed="rId10"/>
                          <a:stretch>
                            <a:fillRect/>
                          </a:stretch>
                        </pic:blipFill>
                        <pic:spPr>
                          <a:xfrm>
                            <a:off x="0" y="0"/>
                            <a:ext cx="777240" cy="234950"/>
                          </a:xfrm>
                          <a:prstGeom prst="rect">
                            <a:avLst/>
                          </a:prstGeom>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DDAF735"/>
    <w:multiLevelType w:val="singleLevel"/>
    <w:tmpl w:val="EDDAF735"/>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2F610C"/>
    <w:rsid w:val="06C30BC9"/>
    <w:rsid w:val="1BCD40AB"/>
    <w:rsid w:val="2D82637B"/>
    <w:rsid w:val="3CF74CF5"/>
    <w:rsid w:val="57B932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2022-09-08T15:19:06Z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